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before="156"/>
        <w:jc w:val="left"/>
        <w:textAlignment w:val="baseline"/>
        <w:rPr>
          <w:rFonts w:hint="eastAsia" w:ascii="Arial" w:hAnsi="Arial" w:cs="Arial" w:eastAsiaTheme="minorEastAsia"/>
          <w:b/>
          <w:bCs/>
          <w:kern w:val="0"/>
          <w:sz w:val="24"/>
          <w:lang w:val="en-US" w:eastAsia="zh-CN"/>
        </w:rPr>
      </w:pPr>
      <w:r>
        <w:rPr>
          <w:rFonts w:ascii="Arial" w:hAnsi="Arial" w:cs="Arial"/>
          <w:b/>
          <w:bCs/>
          <w:kern w:val="0"/>
          <w:sz w:val="24"/>
          <w:lang w:val="en-GB"/>
        </w:rPr>
        <w:t>3GPP TSG-RAN WG2 Meeting #</w:t>
      </w:r>
      <w:r>
        <w:rPr>
          <w:rFonts w:hint="eastAsia" w:ascii="Arial" w:hAnsi="Arial" w:cs="Arial"/>
          <w:b/>
          <w:bCs/>
          <w:kern w:val="0"/>
          <w:sz w:val="24"/>
        </w:rPr>
        <w:t>103</w:t>
      </w:r>
      <w:r>
        <w:rPr>
          <w:rFonts w:ascii="Arial" w:hAnsi="Arial" w:cs="Arial"/>
          <w:b/>
          <w:bCs/>
          <w:kern w:val="0"/>
          <w:sz w:val="24"/>
          <w:lang w:val="en-GB"/>
        </w:rPr>
        <w:t xml:space="preserve"> </w:t>
      </w:r>
      <w:r>
        <w:rPr>
          <w:rFonts w:ascii="Arial" w:hAnsi="Arial" w:cs="Arial"/>
          <w:b/>
          <w:bCs/>
          <w:kern w:val="0"/>
          <w:sz w:val="24"/>
          <w:lang w:val="en-GB"/>
        </w:rPr>
        <w:tab/>
      </w:r>
      <w:r>
        <w:rPr>
          <w:rFonts w:hint="eastAsia" w:ascii="Arial" w:hAnsi="Arial" w:cs="Arial"/>
          <w:b/>
          <w:bCs/>
          <w:kern w:val="0"/>
          <w:sz w:val="24"/>
        </w:rPr>
        <w:t xml:space="preserve">                             </w:t>
      </w:r>
      <w:r>
        <w:rPr>
          <w:rFonts w:hint="eastAsia" w:ascii="Arial" w:hAnsi="Arial" w:cs="Arial"/>
          <w:b/>
          <w:bCs/>
          <w:kern w:val="0"/>
          <w:sz w:val="24"/>
          <w:lang w:val="en-GB"/>
        </w:rPr>
        <w:t>R2-1</w:t>
      </w:r>
      <w:r>
        <w:rPr>
          <w:rFonts w:hint="eastAsia" w:ascii="Arial" w:hAnsi="Arial" w:cs="Arial"/>
          <w:b/>
          <w:bCs/>
          <w:kern w:val="0"/>
          <w:sz w:val="24"/>
        </w:rPr>
        <w:t>81</w:t>
      </w:r>
      <w:r>
        <w:rPr>
          <w:rFonts w:hint="eastAsia" w:ascii="Arial" w:hAnsi="Arial" w:cs="Arial"/>
          <w:b/>
          <w:bCs/>
          <w:kern w:val="0"/>
          <w:sz w:val="24"/>
          <w:lang w:val="en-US" w:eastAsia="zh-CN"/>
        </w:rPr>
        <w:t>1596</w:t>
      </w:r>
    </w:p>
    <w:p>
      <w:pPr>
        <w:overflowPunct w:val="0"/>
        <w:autoSpaceDE w:val="0"/>
        <w:autoSpaceDN w:val="0"/>
        <w:adjustRightInd w:val="0"/>
        <w:snapToGrid w:val="0"/>
        <w:spacing w:before="156"/>
        <w:jc w:val="left"/>
        <w:textAlignment w:val="baseline"/>
        <w:rPr>
          <w:rFonts w:ascii="Arial" w:hAnsi="Arial" w:cs="Arial"/>
          <w:b/>
          <w:bCs/>
          <w:kern w:val="0"/>
          <w:sz w:val="22"/>
          <w:szCs w:val="22"/>
          <w:lang w:val="en-GB"/>
        </w:rPr>
      </w:pPr>
      <w:r>
        <w:rPr>
          <w:rFonts w:hint="eastAsia" w:ascii="Arial" w:hAnsi="Arial" w:cs="Arial"/>
          <w:b/>
          <w:bCs/>
          <w:kern w:val="0"/>
          <w:sz w:val="24"/>
        </w:rPr>
        <w:t>Gothenburg</w:t>
      </w:r>
      <w:r>
        <w:rPr>
          <w:rFonts w:ascii="Arial" w:hAnsi="Arial" w:cs="Arial"/>
          <w:b/>
          <w:bCs/>
          <w:kern w:val="0"/>
          <w:sz w:val="24"/>
          <w:lang w:val="en-GB"/>
        </w:rPr>
        <w:t>, Sweden, 20</w:t>
      </w:r>
      <w:r>
        <w:rPr>
          <w:rFonts w:ascii="Arial" w:hAnsi="Arial" w:cs="Arial"/>
          <w:b/>
          <w:bCs/>
          <w:kern w:val="0"/>
          <w:sz w:val="24"/>
          <w:vertAlign w:val="superscript"/>
        </w:rPr>
        <w:t>th</w:t>
      </w:r>
      <w:r>
        <w:rPr>
          <w:rFonts w:ascii="Arial" w:hAnsi="Arial" w:cs="Arial"/>
          <w:b/>
          <w:bCs/>
          <w:kern w:val="0"/>
          <w:sz w:val="24"/>
          <w:lang w:val="en-GB"/>
        </w:rPr>
        <w:t xml:space="preserve"> – </w:t>
      </w:r>
      <w:r>
        <w:rPr>
          <w:rFonts w:hint="eastAsia" w:ascii="Arial" w:hAnsi="Arial" w:cs="Arial"/>
          <w:b/>
          <w:bCs/>
          <w:kern w:val="0"/>
          <w:sz w:val="24"/>
        </w:rPr>
        <w:t>24</w:t>
      </w:r>
      <w:r>
        <w:rPr>
          <w:rFonts w:hint="eastAsia" w:ascii="Arial" w:hAnsi="Arial" w:cs="Arial"/>
          <w:b/>
          <w:bCs/>
          <w:kern w:val="0"/>
          <w:sz w:val="24"/>
          <w:vertAlign w:val="superscript"/>
        </w:rPr>
        <w:t>th</w:t>
      </w:r>
      <w:r>
        <w:rPr>
          <w:rFonts w:ascii="Arial" w:hAnsi="Arial" w:cs="Arial"/>
          <w:b/>
          <w:bCs/>
          <w:kern w:val="0"/>
          <w:sz w:val="24"/>
          <w:lang w:val="en-GB"/>
        </w:rPr>
        <w:t xml:space="preserve"> </w:t>
      </w:r>
      <w:r>
        <w:rPr>
          <w:rFonts w:ascii="Arial" w:hAnsi="Arial" w:cs="Arial"/>
          <w:b/>
          <w:bCs/>
          <w:kern w:val="0"/>
          <w:sz w:val="24"/>
        </w:rPr>
        <w:t>Aug</w:t>
      </w:r>
      <w:r>
        <w:rPr>
          <w:rFonts w:hint="eastAsia" w:ascii="Arial" w:hAnsi="Arial" w:cs="Arial"/>
          <w:b/>
          <w:bCs/>
          <w:kern w:val="0"/>
          <w:sz w:val="24"/>
          <w:lang w:val="en-GB"/>
        </w:rPr>
        <w:t xml:space="preserve"> 2018 </w:t>
      </w:r>
      <w:r>
        <w:rPr>
          <w:rFonts w:hint="eastAsia" w:ascii="Arial" w:hAnsi="Arial" w:cs="Arial"/>
          <w:b/>
          <w:bCs/>
          <w:kern w:val="0"/>
          <w:sz w:val="28"/>
          <w:szCs w:val="28"/>
        </w:rPr>
        <w:tab/>
      </w:r>
      <w:r>
        <w:rPr>
          <w:rFonts w:hint="eastAsia" w:ascii="Arial" w:hAnsi="Arial" w:cs="Arial"/>
          <w:b/>
          <w:bCs/>
          <w:kern w:val="0"/>
          <w:sz w:val="28"/>
          <w:szCs w:val="28"/>
        </w:rPr>
        <w:tab/>
      </w:r>
      <w:r>
        <w:rPr>
          <w:rFonts w:hint="eastAsia" w:ascii="Arial" w:hAnsi="Arial" w:cs="Arial"/>
          <w:b/>
          <w:bCs/>
          <w:kern w:val="0"/>
          <w:sz w:val="28"/>
          <w:szCs w:val="28"/>
        </w:rPr>
        <w:tab/>
      </w:r>
      <w:r>
        <w:rPr>
          <w:rFonts w:hint="eastAsia" w:ascii="Arial" w:hAnsi="Arial" w:cs="Arial"/>
          <w:b/>
          <w:bCs/>
          <w:kern w:val="0"/>
          <w:sz w:val="28"/>
          <w:szCs w:val="28"/>
        </w:rPr>
        <w:tab/>
      </w:r>
      <w:r>
        <w:rPr>
          <w:rFonts w:hint="eastAsia" w:ascii="Arial" w:hAnsi="Arial" w:cs="Arial"/>
          <w:b/>
          <w:bCs/>
          <w:kern w:val="0"/>
          <w:sz w:val="28"/>
          <w:szCs w:val="28"/>
        </w:rPr>
        <w:t xml:space="preserve">      </w:t>
      </w:r>
      <w:r>
        <w:rPr>
          <w:rFonts w:hint="eastAsia" w:ascii="Arial" w:hAnsi="Arial" w:cs="Arial"/>
          <w:b/>
          <w:bCs/>
          <w:kern w:val="0"/>
          <w:sz w:val="28"/>
          <w:szCs w:val="28"/>
        </w:rPr>
        <w:tab/>
      </w:r>
    </w:p>
    <w:p>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w:t>
      </w:r>
      <w:r>
        <w:rPr>
          <w:rFonts w:hint="eastAsia" w:ascii="Arial" w:hAnsi="Arial" w:cs="Arial"/>
          <w:b/>
          <w:bCs/>
          <w:snapToGrid w:val="0"/>
          <w:kern w:val="0"/>
          <w:sz w:val="24"/>
        </w:rPr>
        <w:t xml:space="preserve"> Corporation</w:t>
      </w:r>
    </w:p>
    <w:p>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Consideration on</w:t>
      </w:r>
      <w:r>
        <w:rPr>
          <w:rFonts w:hint="eastAsia" w:ascii="Arial" w:hAnsi="Arial" w:cs="Arial"/>
          <w:b/>
          <w:bCs/>
          <w:snapToGrid w:val="0"/>
          <w:kern w:val="0"/>
          <w:sz w:val="24"/>
        </w:rPr>
        <w:t xml:space="preserve"> timing reference of FR2 gap </w:t>
      </w:r>
      <w:r>
        <w:rPr>
          <w:rFonts w:ascii="Arial" w:hAnsi="Arial" w:cs="Arial"/>
          <w:b/>
          <w:bCs/>
          <w:snapToGrid w:val="0"/>
          <w:kern w:val="0"/>
          <w:sz w:val="24"/>
        </w:rPr>
        <w:t xml:space="preserve"> </w:t>
      </w:r>
    </w:p>
    <w:p>
      <w:pPr>
        <w:overflowPunct w:val="0"/>
        <w:autoSpaceDE w:val="0"/>
        <w:autoSpaceDN w:val="0"/>
        <w:adjustRightInd w:val="0"/>
        <w:snapToGrid w:val="0"/>
        <w:spacing w:before="156"/>
        <w:jc w:val="left"/>
        <w:textAlignment w:val="baseline"/>
        <w:rPr>
          <w:rFonts w:hint="eastAsia" w:ascii="Arial" w:hAnsi="Arial" w:cs="Arial" w:eastAsiaTheme="minorEastAsia"/>
          <w:b/>
          <w:bCs/>
          <w:snapToGrid w:val="0"/>
          <w:kern w:val="0"/>
          <w:sz w:val="24"/>
          <w:lang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10.4.1.4.</w:t>
      </w:r>
      <w:r>
        <w:rPr>
          <w:rFonts w:hint="eastAsia" w:ascii="Arial" w:hAnsi="Arial" w:cs="Arial"/>
          <w:b/>
          <w:bCs/>
          <w:snapToGrid w:val="0"/>
          <w:kern w:val="0"/>
          <w:sz w:val="24"/>
          <w:lang w:val="en-US" w:eastAsia="zh-CN"/>
        </w:rPr>
        <w:t>2</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56"/>
      </w:pPr>
      <w:r>
        <w:rPr>
          <w:rFonts w:hint="eastAsia"/>
        </w:rPr>
        <w:t xml:space="preserve">At RAN2 #AH1807 Montreal meeting, when discussing gap configuration, </w:t>
      </w:r>
      <w:r>
        <w:rPr>
          <w:rFonts w:hint="eastAsia"/>
          <w:lang w:val="en-US" w:eastAsia="zh-CN"/>
        </w:rPr>
        <w:t xml:space="preserve">no </w:t>
      </w:r>
      <w:r>
        <w:rPr>
          <w:rFonts w:hint="eastAsia"/>
        </w:rPr>
        <w:t xml:space="preserve">consensus </w:t>
      </w:r>
      <w:r>
        <w:rPr>
          <w:rFonts w:hint="eastAsia"/>
          <w:lang w:val="en-US" w:eastAsia="zh-CN"/>
        </w:rPr>
        <w:t xml:space="preserve">was reached </w:t>
      </w:r>
      <w:r>
        <w:rPr>
          <w:rFonts w:hint="eastAsia"/>
        </w:rPr>
        <w:t>about which cell</w:t>
      </w:r>
      <w:r>
        <w:rPr>
          <w:rFonts w:hint="default"/>
          <w:lang w:val="en-US" w:eastAsia="zh-CN"/>
        </w:rPr>
        <w:t>’</w:t>
      </w:r>
      <w:r>
        <w:rPr>
          <w:rFonts w:hint="eastAsia"/>
          <w:lang w:val="en-US" w:eastAsia="zh-CN"/>
        </w:rPr>
        <w:t>s SFN ans subframe</w:t>
      </w:r>
      <w:r>
        <w:rPr>
          <w:rFonts w:hint="eastAsia"/>
        </w:rPr>
        <w:t xml:space="preserve"> is used to calculate FR2 gap position, and following conclusion was </w:t>
      </w:r>
      <w:r>
        <w:rPr>
          <w:rFonts w:hint="eastAsia"/>
          <w:lang w:val="en-US" w:eastAsia="zh-CN"/>
        </w:rPr>
        <w:t>made</w:t>
      </w:r>
      <w:r>
        <w:rPr>
          <w:rFonts w:hint="eastAsia"/>
        </w:rPr>
        <w:t xml:space="preserve"> in the meeting minutes.</w:t>
      </w:r>
    </w:p>
    <w:p>
      <w:pPr>
        <w:pStyle w:val="86"/>
        <w:snapToGrid w:val="0"/>
        <w:spacing w:before="0" w:beforeLines="0" w:after="0" w:line="260" w:lineRule="auto"/>
        <w:rPr>
          <w:sz w:val="16"/>
          <w:szCs w:val="21"/>
        </w:rPr>
      </w:pPr>
      <w:r>
        <w:rPr>
          <w:sz w:val="16"/>
          <w:szCs w:val="18"/>
          <w:u w:val="single"/>
        </w:rPr>
        <w:t>R2-1810848</w:t>
      </w:r>
      <w:r>
        <w:rPr>
          <w:sz w:val="16"/>
          <w:szCs w:val="21"/>
        </w:rPr>
        <w:tab/>
      </w:r>
      <w:r>
        <w:rPr>
          <w:sz w:val="16"/>
          <w:szCs w:val="21"/>
        </w:rPr>
        <w:t>[E080, E081, E206, E207] Draft CR to 38.331 to provide NR SA measurement gap and gap sharing configurations</w:t>
      </w:r>
      <w:r>
        <w:rPr>
          <w:sz w:val="16"/>
          <w:szCs w:val="21"/>
        </w:rPr>
        <w:tab/>
      </w:r>
      <w:r>
        <w:rPr>
          <w:sz w:val="16"/>
          <w:szCs w:val="21"/>
        </w:rPr>
        <w:t>Ericsson</w:t>
      </w:r>
      <w:r>
        <w:rPr>
          <w:sz w:val="16"/>
          <w:szCs w:val="21"/>
        </w:rPr>
        <w:tab/>
      </w:r>
      <w:r>
        <w:rPr>
          <w:sz w:val="16"/>
          <w:szCs w:val="21"/>
        </w:rPr>
        <w:t>draftCR</w:t>
      </w:r>
      <w:r>
        <w:rPr>
          <w:sz w:val="16"/>
          <w:szCs w:val="21"/>
        </w:rPr>
        <w:tab/>
      </w:r>
      <w:r>
        <w:rPr>
          <w:sz w:val="16"/>
          <w:szCs w:val="21"/>
        </w:rPr>
        <w:t>Rel-15</w:t>
      </w:r>
      <w:r>
        <w:rPr>
          <w:sz w:val="16"/>
          <w:szCs w:val="21"/>
        </w:rPr>
        <w:tab/>
      </w:r>
      <w:r>
        <w:rPr>
          <w:sz w:val="16"/>
          <w:szCs w:val="21"/>
        </w:rPr>
        <w:t>38.331</w:t>
      </w:r>
      <w:r>
        <w:rPr>
          <w:sz w:val="16"/>
          <w:szCs w:val="21"/>
        </w:rPr>
        <w:tab/>
      </w:r>
      <w:r>
        <w:rPr>
          <w:sz w:val="16"/>
          <w:szCs w:val="21"/>
        </w:rPr>
        <w:t>15.2.1</w:t>
      </w:r>
      <w:r>
        <w:rPr>
          <w:sz w:val="16"/>
          <w:szCs w:val="21"/>
        </w:rPr>
        <w:tab/>
      </w:r>
      <w:r>
        <w:rPr>
          <w:sz w:val="16"/>
          <w:szCs w:val="21"/>
        </w:rPr>
        <w:t>NR_newRAT-Core</w:t>
      </w:r>
    </w:p>
    <w:p>
      <w:pPr>
        <w:pStyle w:val="82"/>
        <w:snapToGrid w:val="0"/>
        <w:spacing w:before="0" w:beforeLines="0" w:after="0" w:line="260" w:lineRule="auto"/>
        <w:rPr>
          <w:sz w:val="16"/>
          <w:szCs w:val="21"/>
        </w:rPr>
      </w:pPr>
      <w:r>
        <w:rPr>
          <w:sz w:val="16"/>
          <w:szCs w:val="21"/>
        </w:rPr>
        <w:t>=&gt;</w:t>
      </w:r>
      <w:r>
        <w:rPr>
          <w:sz w:val="16"/>
          <w:szCs w:val="21"/>
        </w:rPr>
        <w:tab/>
      </w:r>
      <w:r>
        <w:rPr>
          <w:sz w:val="16"/>
          <w:szCs w:val="21"/>
          <w:highlight w:val="yellow"/>
        </w:rPr>
        <w:t xml:space="preserve">Remove the note " </w:t>
      </w:r>
      <w:r>
        <w:rPr>
          <w:sz w:val="16"/>
          <w:szCs w:val="21"/>
          <w:highlight w:val="yellow"/>
        </w:rPr>
        <w:tab/>
      </w:r>
      <w:r>
        <w:rPr>
          <w:sz w:val="16"/>
          <w:szCs w:val="21"/>
          <w:highlight w:val="yellow"/>
        </w:rPr>
        <w:t>NOTE 1: For gapFR2 configuration, the SFN and subframe of a serving cell on FR2 frequency is used in the gap calculation."</w:t>
      </w:r>
    </w:p>
    <w:p>
      <w:pPr>
        <w:pStyle w:val="82"/>
        <w:snapToGrid w:val="0"/>
        <w:spacing w:before="0" w:beforeLines="0" w:after="0" w:line="260" w:lineRule="auto"/>
        <w:rPr>
          <w:sz w:val="16"/>
          <w:szCs w:val="21"/>
        </w:rPr>
      </w:pPr>
      <w:r>
        <w:rPr>
          <w:sz w:val="16"/>
          <w:szCs w:val="21"/>
        </w:rPr>
        <w:t>=&gt;</w:t>
      </w:r>
      <w:r>
        <w:rPr>
          <w:sz w:val="16"/>
          <w:szCs w:val="21"/>
        </w:rPr>
        <w:tab/>
      </w:r>
      <w:r>
        <w:rPr>
          <w:sz w:val="16"/>
          <w:szCs w:val="21"/>
        </w:rPr>
        <w:t>FFS whether to add the note in future after checking current status of RAN4</w:t>
      </w:r>
    </w:p>
    <w:p>
      <w:pPr>
        <w:pStyle w:val="82"/>
        <w:snapToGrid w:val="0"/>
        <w:spacing w:before="0" w:beforeLines="0" w:after="0" w:line="260" w:lineRule="auto"/>
        <w:rPr>
          <w:sz w:val="16"/>
          <w:szCs w:val="21"/>
        </w:rPr>
      </w:pPr>
      <w:r>
        <w:rPr>
          <w:sz w:val="16"/>
          <w:szCs w:val="21"/>
        </w:rPr>
        <w:t>=&gt;</w:t>
      </w:r>
      <w:r>
        <w:rPr>
          <w:sz w:val="16"/>
          <w:szCs w:val="21"/>
        </w:rPr>
        <w:tab/>
      </w:r>
      <w:r>
        <w:rPr>
          <w:sz w:val="16"/>
          <w:szCs w:val="21"/>
        </w:rPr>
        <w:t>Agreed to be added to the SA CR</w:t>
      </w:r>
    </w:p>
    <w:p>
      <w:pPr>
        <w:spacing w:before="156"/>
      </w:pPr>
      <w:r>
        <w:rPr>
          <w:rFonts w:hint="eastAsia"/>
        </w:rPr>
        <w:t xml:space="preserve">In this contribution, we continues this discussion based on the conclusion from RAN4.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p>
      <w:pPr>
        <w:spacing w:before="156"/>
      </w:pPr>
      <w:r>
        <w:rPr>
          <w:rFonts w:hint="eastAsia"/>
        </w:rPr>
        <w:t>During RAN2 #AH1807, when discussing which cell</w:t>
      </w:r>
      <w:r>
        <w:t>’</w:t>
      </w:r>
      <w:r>
        <w:rPr>
          <w:rFonts w:hint="eastAsia"/>
        </w:rPr>
        <w:t>s SFN and subframe are used to calculate FR2 gap, some companies mentioned that RAN4 already agreed on the timing reference of FR2 gap, the relevant RAN4 agreements are given below:</w:t>
      </w:r>
    </w:p>
    <w:p>
      <w:pPr>
        <w:spacing w:before="0" w:beforeLines="0" w:after="0" w:line="260" w:lineRule="auto"/>
        <w:rPr>
          <w:rFonts w:eastAsia="宋体"/>
          <w:i/>
          <w:iCs/>
          <w:color w:val="0070C0"/>
          <w:sz w:val="20"/>
          <w:szCs w:val="22"/>
        </w:rPr>
      </w:pPr>
      <w:r>
        <w:rPr>
          <w:rFonts w:hint="eastAsia" w:eastAsia="宋体"/>
          <w:i/>
          <w:iCs/>
          <w:color w:val="0070C0"/>
          <w:sz w:val="20"/>
          <w:szCs w:val="22"/>
        </w:rPr>
        <w:t>RAN4 #87 Agreement:</w:t>
      </w:r>
    </w:p>
    <w:p>
      <w:pPr>
        <w:numPr>
          <w:ilvl w:val="0"/>
          <w:numId w:val="4"/>
        </w:numPr>
        <w:spacing w:before="0" w:beforeLines="0" w:after="0" w:line="260" w:lineRule="auto"/>
        <w:rPr>
          <w:rFonts w:eastAsia="宋体"/>
          <w:i/>
          <w:iCs/>
          <w:color w:val="0070C0"/>
          <w:sz w:val="20"/>
          <w:szCs w:val="22"/>
        </w:rPr>
      </w:pPr>
      <w:r>
        <w:rPr>
          <w:rFonts w:hint="eastAsia" w:eastAsia="宋体"/>
          <w:i/>
          <w:iCs/>
          <w:color w:val="0070C0"/>
          <w:sz w:val="20"/>
          <w:szCs w:val="22"/>
        </w:rPr>
        <w:t xml:space="preserve">For </w:t>
      </w:r>
      <w:r>
        <w:rPr>
          <w:rFonts w:eastAsia="宋体"/>
          <w:i/>
          <w:iCs/>
          <w:color w:val="0070C0"/>
          <w:sz w:val="20"/>
          <w:szCs w:val="22"/>
        </w:rPr>
        <w:t>Per-UE gap or Per-FR gap for FR1</w:t>
      </w:r>
      <w:r>
        <w:rPr>
          <w:rFonts w:hint="eastAsia" w:eastAsia="宋体"/>
          <w:i/>
          <w:iCs/>
          <w:color w:val="0070C0"/>
          <w:sz w:val="20"/>
          <w:szCs w:val="22"/>
        </w:rPr>
        <w:t xml:space="preserve"> configured in sync EN-DC scenario, </w:t>
      </w:r>
    </w:p>
    <w:p>
      <w:pPr>
        <w:numPr>
          <w:ilvl w:val="1"/>
          <w:numId w:val="4"/>
        </w:numPr>
        <w:spacing w:before="0" w:beforeLines="0" w:after="0" w:line="260" w:lineRule="auto"/>
        <w:rPr>
          <w:rFonts w:eastAsia="宋体"/>
          <w:i/>
          <w:iCs/>
          <w:color w:val="0070C0"/>
          <w:sz w:val="20"/>
          <w:szCs w:val="22"/>
        </w:rPr>
      </w:pPr>
      <w:r>
        <w:rPr>
          <w:rFonts w:eastAsia="宋体"/>
          <w:i/>
          <w:iCs/>
          <w:color w:val="0070C0"/>
          <w:sz w:val="20"/>
          <w:szCs w:val="22"/>
        </w:rPr>
        <w:t>N</w:t>
      </w:r>
      <w:r>
        <w:rPr>
          <w:rFonts w:eastAsia="宋体"/>
          <w:i/>
          <w:iCs/>
          <w:color w:val="0070C0"/>
          <w:sz w:val="20"/>
          <w:szCs w:val="22"/>
          <w:lang w:eastAsia="ja-JP"/>
        </w:rPr>
        <w:t>o additional slot interrupted on the victim NR PSCell in FR1 and FR2 is expected before and after the measurement gap respectively.</w:t>
      </w:r>
    </w:p>
    <w:p>
      <w:pPr>
        <w:spacing w:before="0" w:beforeLines="0" w:after="0" w:line="260" w:lineRule="auto"/>
        <w:rPr>
          <w:rFonts w:eastAsia="宋体"/>
          <w:i/>
          <w:iCs/>
          <w:color w:val="0070C0"/>
          <w:sz w:val="20"/>
          <w:szCs w:val="22"/>
        </w:rPr>
      </w:pPr>
      <w:r>
        <w:rPr>
          <w:rFonts w:hint="eastAsia" w:eastAsia="宋体"/>
          <w:i/>
          <w:iCs/>
          <w:color w:val="0070C0"/>
          <w:sz w:val="20"/>
          <w:szCs w:val="22"/>
        </w:rPr>
        <w:t>RAN4 #87 Agreement</w:t>
      </w:r>
    </w:p>
    <w:p>
      <w:pPr>
        <w:numPr>
          <w:ilvl w:val="0"/>
          <w:numId w:val="4"/>
        </w:numPr>
        <w:spacing w:before="0" w:beforeLines="0" w:after="0" w:line="260" w:lineRule="auto"/>
        <w:rPr>
          <w:rFonts w:eastAsia="宋体"/>
          <w:i/>
          <w:iCs/>
          <w:color w:val="0070C0"/>
          <w:sz w:val="20"/>
          <w:szCs w:val="22"/>
        </w:rPr>
      </w:pPr>
      <w:r>
        <w:rPr>
          <w:rFonts w:eastAsia="宋体"/>
          <w:i/>
          <w:iCs/>
          <w:color w:val="0070C0"/>
          <w:sz w:val="20"/>
          <w:szCs w:val="22"/>
        </w:rPr>
        <w:t xml:space="preserve">For Per-UE gap or Per-FR gap for FR2 configured in sync EN-DC </w:t>
      </w:r>
      <w:r>
        <w:rPr>
          <w:rFonts w:hint="eastAsia" w:eastAsia="宋体"/>
          <w:i/>
          <w:iCs/>
          <w:color w:val="0070C0"/>
          <w:sz w:val="20"/>
          <w:szCs w:val="22"/>
        </w:rPr>
        <w:t xml:space="preserve">and CA </w:t>
      </w:r>
      <w:r>
        <w:rPr>
          <w:rFonts w:eastAsia="宋体"/>
          <w:i/>
          <w:iCs/>
          <w:color w:val="0070C0"/>
          <w:sz w:val="20"/>
          <w:szCs w:val="22"/>
        </w:rPr>
        <w:t>scenario,</w:t>
      </w:r>
    </w:p>
    <w:p>
      <w:pPr>
        <w:numPr>
          <w:ilvl w:val="1"/>
          <w:numId w:val="4"/>
        </w:numPr>
        <w:spacing w:before="0" w:beforeLines="0" w:after="0" w:line="260" w:lineRule="auto"/>
        <w:rPr>
          <w:rFonts w:eastAsia="宋体"/>
          <w:i/>
          <w:iCs/>
          <w:color w:val="0070C0"/>
          <w:sz w:val="20"/>
          <w:szCs w:val="22"/>
        </w:rPr>
      </w:pPr>
      <w:r>
        <w:rPr>
          <w:rFonts w:eastAsia="宋体"/>
          <w:i/>
          <w:iCs/>
          <w:color w:val="0070C0"/>
          <w:sz w:val="20"/>
          <w:szCs w:val="22"/>
          <w:highlight w:val="green"/>
        </w:rPr>
        <w:t>Reference time for per-FR gap in FR2 is based on FR2 cell</w:t>
      </w:r>
      <w:r>
        <w:rPr>
          <w:rFonts w:hint="eastAsia" w:eastAsia="宋体"/>
          <w:i/>
          <w:iCs/>
          <w:color w:val="0070C0"/>
          <w:sz w:val="20"/>
          <w:szCs w:val="22"/>
        </w:rPr>
        <w:t xml:space="preserve"> and</w:t>
      </w:r>
      <w:r>
        <w:rPr>
          <w:rFonts w:eastAsia="宋体"/>
          <w:i/>
          <w:iCs/>
          <w:color w:val="0070C0"/>
          <w:sz w:val="20"/>
          <w:szCs w:val="22"/>
        </w:rPr>
        <w:t xml:space="preserve"> MRTD for between FR2 CCs in synchronous case is no more than 8us.</w:t>
      </w:r>
      <w:r>
        <w:rPr>
          <w:rFonts w:hint="eastAsia" w:eastAsia="宋体"/>
          <w:i/>
          <w:iCs/>
          <w:color w:val="0070C0"/>
          <w:sz w:val="20"/>
          <w:szCs w:val="22"/>
        </w:rPr>
        <w:t xml:space="preserve"> </w:t>
      </w:r>
      <w:r>
        <w:rPr>
          <w:rFonts w:eastAsia="宋体"/>
          <w:i/>
          <w:iCs/>
          <w:color w:val="0070C0"/>
          <w:sz w:val="20"/>
          <w:szCs w:val="22"/>
        </w:rPr>
        <w:t>In this case, no additional slot is needed for interruption.</w:t>
      </w:r>
    </w:p>
    <w:p>
      <w:pPr>
        <w:spacing w:before="156"/>
      </w:pPr>
      <w:r>
        <w:rPr>
          <w:rFonts w:hint="eastAsia"/>
        </w:rPr>
        <w:t>In addition, based on above agreement, the RAN4 CR[1] was agreed in RAN4 last meeting. However, the above agreements and CR are agreed under the discussion of gap interruption requirements in RAN4. Per RAN4</w:t>
      </w:r>
      <w:r>
        <w:t>’</w:t>
      </w:r>
      <w:r>
        <w:rPr>
          <w:rFonts w:hint="eastAsia"/>
        </w:rPr>
        <w:t>s understanding, in synchronous case, considering the MRTD(maximum receive timing difference) between FR2 CCs is no more than 8us(less than one OFDM symbol under 120kHz SCS), if the FR2 gap is calculated based on one FR2 serving cell, then no additional slot will be interrupted.</w:t>
      </w:r>
    </w:p>
    <w:p>
      <w:pPr>
        <w:spacing w:before="160" w:beforeLines="0" w:line="260" w:lineRule="auto"/>
      </w:pPr>
      <w:r>
        <w:rPr>
          <w:rFonts w:hint="eastAsia"/>
          <w:b/>
        </w:rPr>
        <w:t xml:space="preserve">Observation1: </w:t>
      </w:r>
      <w:r>
        <w:rPr>
          <w:rFonts w:hint="eastAsia"/>
          <w:b/>
        </w:rPr>
        <w:tab/>
      </w:r>
      <w:r>
        <w:rPr>
          <w:rFonts w:hint="eastAsia"/>
          <w:b/>
        </w:rPr>
        <w:t>The reference time of FR2 gap agreements in RAN4 were made under the discussion of gap interruption requirements.</w:t>
      </w:r>
    </w:p>
    <w:p>
      <w:pPr>
        <w:spacing w:before="156"/>
      </w:pPr>
      <w:r>
        <w:rPr>
          <w:rFonts w:hint="eastAsia"/>
        </w:rPr>
        <w:t xml:space="preserve">However, from RAN2 perspective, we should think more about the feasibility of using one FR2 serving cell as timing reference of FR2 gap. According RAN4 spec 38.133, the MRTD requirements are defined as timing difference of the slot boundary of different carriers, but indeed it does not mean different serving carriers shall operate on the same SFN and subframe. For example, the slot boundary of FR2 serving cells should be aligned with each other due to the 8us MRTD requirements, but </w:t>
      </w:r>
      <w:r>
        <w:rPr>
          <w:rFonts w:hint="eastAsia"/>
          <w:lang w:val="en-US" w:eastAsia="zh-CN"/>
        </w:rPr>
        <w:t>at the same</w:t>
      </w:r>
      <w:r>
        <w:rPr>
          <w:rFonts w:hint="eastAsia"/>
        </w:rPr>
        <w:t xml:space="preserve"> </w:t>
      </w:r>
      <w:r>
        <w:rPr>
          <w:rFonts w:hint="eastAsia"/>
          <w:lang w:val="en-US" w:eastAsia="zh-CN"/>
        </w:rPr>
        <w:t>moment</w:t>
      </w:r>
      <w:r>
        <w:rPr>
          <w:rFonts w:hint="eastAsia"/>
        </w:rPr>
        <w:t>, different FR2 serving cells may operate on different SFN and subframe.</w:t>
      </w:r>
    </w:p>
    <w:p>
      <w:pPr>
        <w:spacing w:before="156"/>
        <w:rPr>
          <w:rFonts w:hint="eastAsia"/>
        </w:rPr>
      </w:pPr>
      <w:r>
        <w:rPr>
          <w:rFonts w:hint="eastAsia"/>
        </w:rPr>
        <w:t>Therefore, for a given gap configuration(e.g. MGRP, gapOffset), while using different FR2 serving cell as timing reference, the absolute time domain gap position will be different as a consequence.</w:t>
      </w:r>
    </w:p>
    <w:p>
      <w:pPr>
        <w:spacing w:before="156" w:after="156" w:afterLines="50"/>
        <w:ind w:left="1202" w:hanging="1202" w:hangingChars="570"/>
      </w:pPr>
      <w:r>
        <w:rPr>
          <w:rFonts w:hint="eastAsia"/>
          <w:b/>
        </w:rPr>
        <w:t xml:space="preserve">Observation2: </w:t>
      </w:r>
      <w:r>
        <w:rPr>
          <w:rFonts w:hint="eastAsia"/>
          <w:b/>
        </w:rPr>
        <w:tab/>
      </w:r>
      <w:r>
        <w:rPr>
          <w:rFonts w:hint="eastAsia"/>
          <w:b/>
        </w:rPr>
        <w:t xml:space="preserve">In NR carrier aggregation, different FR2 serving cells(carriers) may operate on different SFN and subframe at the same time. Thus, the time domain gap position will be </w:t>
      </w:r>
      <w:r>
        <w:rPr>
          <w:rFonts w:hint="eastAsia"/>
          <w:b/>
          <w:lang w:val="en-US" w:eastAsia="zh-CN"/>
        </w:rPr>
        <w:t>various</w:t>
      </w:r>
      <w:r>
        <w:rPr>
          <w:rFonts w:hint="eastAsia"/>
          <w:b/>
        </w:rPr>
        <w:t xml:space="preserve"> while using different FR2 serving cell as timing reference. </w:t>
      </w:r>
    </w:p>
    <w:p>
      <w:pPr>
        <w:spacing w:before="156"/>
      </w:pPr>
      <w:r>
        <w:rPr>
          <w:rFonts w:hint="eastAsia"/>
        </w:rPr>
        <w:t xml:space="preserve">Based on above analysis, if use FR2 serving cell for FR2 gap calculation, then for more than one FR2 serving cells are configured towards UE, to avoid misleading, the network is requested to explicitly indicate the referenced FR2 serving cell to UE for FR2 gap calculation. </w:t>
      </w:r>
    </w:p>
    <w:p>
      <w:pPr>
        <w:spacing w:before="156"/>
      </w:pPr>
      <w:r>
        <w:rPr>
          <w:rFonts w:hint="eastAsia"/>
        </w:rPr>
        <w:t>In general, based on RAN2 previous discussion, for FR2 gap, the following two Options are on the table:</w:t>
      </w:r>
    </w:p>
    <w:p>
      <w:pPr>
        <w:numPr>
          <w:ilvl w:val="0"/>
          <w:numId w:val="5"/>
        </w:numPr>
        <w:spacing w:before="156"/>
        <w:ind w:left="1260" w:hanging="1260"/>
      </w:pPr>
      <w:r>
        <w:rPr>
          <w:rFonts w:hint="eastAsia"/>
          <w:b/>
          <w:bCs/>
        </w:rPr>
        <w:t xml:space="preserve">Option1: </w:t>
      </w:r>
      <w:r>
        <w:rPr>
          <w:rFonts w:hint="eastAsia"/>
        </w:rPr>
        <w:t xml:space="preserve">UE calculates FR2 gap based on the SFN and subframe of the FR2 serving cell indicated by network; </w:t>
      </w:r>
    </w:p>
    <w:p>
      <w:pPr>
        <w:numPr>
          <w:ilvl w:val="0"/>
          <w:numId w:val="5"/>
        </w:numPr>
        <w:spacing w:before="156"/>
        <w:ind w:left="1260" w:hanging="1260"/>
      </w:pPr>
      <w:r>
        <w:rPr>
          <w:rFonts w:hint="eastAsia"/>
          <w:b/>
          <w:bCs/>
        </w:rPr>
        <w:t xml:space="preserve">Option2: </w:t>
      </w:r>
      <w:r>
        <w:rPr>
          <w:rFonts w:hint="eastAsia"/>
        </w:rPr>
        <w:t xml:space="preserve">UE calculates FR2 gap based on the SFN and subframe of the pre-defined cell(e.g. PSCell in </w:t>
      </w:r>
      <w:r>
        <w:t xml:space="preserve">case of </w:t>
      </w:r>
      <w:r>
        <w:rPr>
          <w:rFonts w:hint="eastAsia"/>
        </w:rPr>
        <w:t xml:space="preserve">EN-DC; PCell in </w:t>
      </w:r>
      <w:r>
        <w:t xml:space="preserve">case of </w:t>
      </w:r>
      <w:r>
        <w:rPr>
          <w:rFonts w:hint="eastAsia"/>
        </w:rPr>
        <w:t>NR SA).</w:t>
      </w:r>
    </w:p>
    <w:p>
      <w:pPr>
        <w:spacing w:before="156"/>
      </w:pPr>
      <w:r>
        <w:rPr>
          <w:rFonts w:hint="eastAsia"/>
        </w:rPr>
        <w:t xml:space="preserve">The Pros and Cons are provided in the following table: </w:t>
      </w:r>
    </w:p>
    <w:tbl>
      <w:tblPr>
        <w:tblStyle w:val="65"/>
        <w:tblW w:w="955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5"/>
        <w:gridCol w:w="2544"/>
        <w:gridCol w:w="3219"/>
        <w:gridCol w:w="2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1" w:hRule="atLeast"/>
          <w:jc w:val="center"/>
        </w:trPr>
        <w:tc>
          <w:tcPr>
            <w:tcW w:w="1055" w:type="dxa"/>
            <w:shd w:val="clear" w:color="auto" w:fill="92D050"/>
            <w:vAlign w:val="center"/>
          </w:tcPr>
          <w:p>
            <w:pPr>
              <w:snapToGrid w:val="0"/>
              <w:spacing w:before="0" w:beforeLines="0" w:after="0" w:line="260" w:lineRule="auto"/>
              <w:jc w:val="center"/>
              <w:rPr>
                <w:sz w:val="20"/>
                <w:szCs w:val="20"/>
                <w:lang w:eastAsia="en-US"/>
              </w:rPr>
            </w:pPr>
          </w:p>
        </w:tc>
        <w:tc>
          <w:tcPr>
            <w:tcW w:w="2544" w:type="dxa"/>
            <w:shd w:val="clear" w:color="auto" w:fill="92D050"/>
            <w:vAlign w:val="center"/>
          </w:tcPr>
          <w:p>
            <w:pPr>
              <w:snapToGrid w:val="0"/>
              <w:spacing w:before="0" w:beforeLines="0" w:after="0" w:line="260" w:lineRule="auto"/>
              <w:jc w:val="left"/>
              <w:rPr>
                <w:szCs w:val="21"/>
                <w:lang w:eastAsia="en-US"/>
              </w:rPr>
            </w:pPr>
            <w:r>
              <w:rPr>
                <w:rFonts w:hint="eastAsia"/>
                <w:szCs w:val="21"/>
                <w:lang w:eastAsia="en-US"/>
              </w:rPr>
              <w:t>Pros</w:t>
            </w:r>
          </w:p>
        </w:tc>
        <w:tc>
          <w:tcPr>
            <w:tcW w:w="3219" w:type="dxa"/>
            <w:shd w:val="clear" w:color="auto" w:fill="92D050"/>
            <w:vAlign w:val="center"/>
          </w:tcPr>
          <w:p>
            <w:pPr>
              <w:snapToGrid w:val="0"/>
              <w:spacing w:before="0" w:beforeLines="0" w:after="0" w:line="260" w:lineRule="auto"/>
              <w:rPr>
                <w:szCs w:val="21"/>
                <w:lang w:eastAsia="en-US"/>
              </w:rPr>
            </w:pPr>
            <w:r>
              <w:rPr>
                <w:rFonts w:hint="eastAsia"/>
                <w:szCs w:val="21"/>
                <w:lang w:eastAsia="en-US"/>
              </w:rPr>
              <w:t>Cons</w:t>
            </w:r>
          </w:p>
        </w:tc>
        <w:tc>
          <w:tcPr>
            <w:tcW w:w="2735" w:type="dxa"/>
            <w:shd w:val="clear" w:color="auto" w:fill="92D050"/>
            <w:vAlign w:val="center"/>
          </w:tcPr>
          <w:p>
            <w:pPr>
              <w:snapToGrid w:val="0"/>
              <w:spacing w:before="0" w:beforeLines="0" w:after="0" w:line="260" w:lineRule="auto"/>
              <w:rPr>
                <w:szCs w:val="21"/>
                <w:lang w:eastAsia="en-US"/>
              </w:rPr>
            </w:pPr>
            <w:r>
              <w:rPr>
                <w:rFonts w:hint="eastAsia"/>
                <w:szCs w:val="21"/>
                <w:lang w:eastAsia="en-US"/>
              </w:rPr>
              <w:t>Impact on specs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7" w:hRule="atLeast"/>
          <w:jc w:val="center"/>
        </w:trPr>
        <w:tc>
          <w:tcPr>
            <w:tcW w:w="1055" w:type="dxa"/>
            <w:vAlign w:val="center"/>
          </w:tcPr>
          <w:p>
            <w:pPr>
              <w:snapToGrid w:val="0"/>
              <w:spacing w:before="0" w:beforeLines="0" w:after="0" w:line="260" w:lineRule="auto"/>
              <w:jc w:val="center"/>
              <w:rPr>
                <w:sz w:val="18"/>
                <w:szCs w:val="18"/>
                <w:lang w:eastAsia="en-US"/>
              </w:rPr>
            </w:pPr>
            <w:r>
              <w:rPr>
                <w:rFonts w:hint="eastAsia"/>
                <w:sz w:val="18"/>
                <w:szCs w:val="18"/>
                <w:lang w:eastAsia="en-US"/>
              </w:rPr>
              <w:t>Option1</w:t>
            </w:r>
          </w:p>
        </w:tc>
        <w:tc>
          <w:tcPr>
            <w:tcW w:w="2544" w:type="dxa"/>
            <w:vAlign w:val="center"/>
          </w:tcPr>
          <w:p>
            <w:pPr>
              <w:numPr>
                <w:ilvl w:val="0"/>
                <w:numId w:val="6"/>
              </w:numPr>
              <w:snapToGrid w:val="0"/>
              <w:spacing w:before="0" w:beforeLines="0" w:after="0" w:line="260" w:lineRule="auto"/>
              <w:ind w:left="220" w:hanging="220"/>
              <w:rPr>
                <w:sz w:val="18"/>
                <w:szCs w:val="18"/>
                <w:lang w:eastAsia="en-US"/>
              </w:rPr>
            </w:pPr>
            <w:r>
              <w:rPr>
                <w:rFonts w:hint="eastAsia"/>
                <w:sz w:val="18"/>
                <w:szCs w:val="18"/>
                <w:lang w:eastAsia="en-US"/>
              </w:rPr>
              <w:t>May avoid one additional slot interruption in some cases(Note).</w:t>
            </w:r>
          </w:p>
        </w:tc>
        <w:tc>
          <w:tcPr>
            <w:tcW w:w="3219" w:type="dxa"/>
            <w:vAlign w:val="center"/>
          </w:tcPr>
          <w:p>
            <w:pPr>
              <w:numPr>
                <w:ilvl w:val="0"/>
                <w:numId w:val="6"/>
              </w:numPr>
              <w:snapToGrid w:val="0"/>
              <w:spacing w:before="156" w:after="156" w:afterLines="50" w:line="260" w:lineRule="auto"/>
              <w:ind w:left="221" w:hanging="221"/>
              <w:rPr>
                <w:sz w:val="18"/>
                <w:szCs w:val="18"/>
                <w:lang w:eastAsia="en-US"/>
              </w:rPr>
            </w:pPr>
            <w:r>
              <w:rPr>
                <w:rFonts w:hint="eastAsia"/>
                <w:sz w:val="18"/>
                <w:szCs w:val="18"/>
                <w:lang w:eastAsia="en-US"/>
              </w:rPr>
              <w:t>When more than one FR2 serving cells are configured, if the indicated FR2 SCell is released, network may need to re-configure the gapOffset to keep original absolute position, and results in the reset of ongoing measurements.</w:t>
            </w:r>
          </w:p>
          <w:p>
            <w:pPr>
              <w:numPr>
                <w:ilvl w:val="0"/>
                <w:numId w:val="6"/>
              </w:numPr>
              <w:snapToGrid w:val="0"/>
              <w:spacing w:before="156" w:after="156" w:afterLines="50" w:line="260" w:lineRule="auto"/>
              <w:ind w:left="221" w:hanging="221"/>
              <w:rPr>
                <w:sz w:val="18"/>
                <w:szCs w:val="18"/>
                <w:lang w:eastAsia="en-US"/>
              </w:rPr>
            </w:pPr>
            <w:r>
              <w:rPr>
                <w:rFonts w:hint="eastAsia"/>
                <w:sz w:val="18"/>
                <w:szCs w:val="18"/>
                <w:lang w:eastAsia="en-US"/>
              </w:rPr>
              <w:t xml:space="preserve">New IE should be introduced in ASN.1 to indicates the referenced cell.  </w:t>
            </w:r>
          </w:p>
        </w:tc>
        <w:tc>
          <w:tcPr>
            <w:tcW w:w="2735" w:type="dxa"/>
            <w:vAlign w:val="center"/>
          </w:tcPr>
          <w:p>
            <w:pPr>
              <w:numPr>
                <w:ilvl w:val="0"/>
                <w:numId w:val="6"/>
              </w:numPr>
              <w:snapToGrid w:val="0"/>
              <w:spacing w:before="0" w:beforeLines="0" w:after="0" w:line="260" w:lineRule="auto"/>
              <w:ind w:left="220" w:hanging="220"/>
              <w:rPr>
                <w:sz w:val="18"/>
                <w:szCs w:val="18"/>
                <w:lang w:eastAsia="en-US"/>
              </w:rPr>
            </w:pPr>
            <w:r>
              <w:rPr>
                <w:rFonts w:hint="eastAsia"/>
                <w:sz w:val="18"/>
                <w:szCs w:val="18"/>
                <w:lang w:eastAsia="en-US"/>
              </w:rPr>
              <w:t>Add an explicit cellIndex</w:t>
            </w:r>
            <w:r>
              <w:rPr>
                <w:sz w:val="18"/>
                <w:szCs w:val="18"/>
                <w:lang w:eastAsia="en-US"/>
              </w:rPr>
              <w:t xml:space="preserve"> IE</w:t>
            </w:r>
            <w:r>
              <w:rPr>
                <w:rFonts w:hint="eastAsia"/>
                <w:sz w:val="18"/>
                <w:szCs w:val="18"/>
                <w:lang w:eastAsia="en-US"/>
              </w:rPr>
              <w:t xml:space="preserve"> in MeasConfig to indicate the referenced FR2 cell for FR2 gap calculation.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8" w:hRule="atLeast"/>
          <w:jc w:val="center"/>
        </w:trPr>
        <w:tc>
          <w:tcPr>
            <w:tcW w:w="1055" w:type="dxa"/>
            <w:vAlign w:val="center"/>
          </w:tcPr>
          <w:p>
            <w:pPr>
              <w:snapToGrid w:val="0"/>
              <w:spacing w:before="0" w:beforeLines="0" w:after="0" w:line="260" w:lineRule="auto"/>
              <w:jc w:val="center"/>
              <w:rPr>
                <w:sz w:val="18"/>
                <w:szCs w:val="18"/>
                <w:lang w:eastAsia="en-US"/>
              </w:rPr>
            </w:pPr>
            <w:r>
              <w:rPr>
                <w:rFonts w:hint="eastAsia"/>
                <w:sz w:val="18"/>
                <w:szCs w:val="18"/>
                <w:lang w:eastAsia="en-US"/>
              </w:rPr>
              <w:t>Option2</w:t>
            </w:r>
          </w:p>
        </w:tc>
        <w:tc>
          <w:tcPr>
            <w:tcW w:w="2544" w:type="dxa"/>
            <w:vAlign w:val="center"/>
          </w:tcPr>
          <w:p>
            <w:pPr>
              <w:numPr>
                <w:ilvl w:val="0"/>
                <w:numId w:val="6"/>
              </w:numPr>
              <w:snapToGrid w:val="0"/>
              <w:spacing w:before="0" w:beforeLines="0" w:after="0" w:line="260" w:lineRule="auto"/>
              <w:ind w:left="220" w:hanging="220"/>
              <w:rPr>
                <w:sz w:val="18"/>
                <w:szCs w:val="18"/>
                <w:lang w:eastAsia="en-US"/>
              </w:rPr>
            </w:pPr>
            <w:r>
              <w:rPr>
                <w:rFonts w:hint="eastAsia"/>
                <w:sz w:val="18"/>
                <w:szCs w:val="18"/>
                <w:lang w:eastAsia="en-US"/>
              </w:rPr>
              <w:t>Gapoffset re-configuration can be avoid when one of SCells is released;</w:t>
            </w:r>
          </w:p>
          <w:p>
            <w:pPr>
              <w:numPr>
                <w:ilvl w:val="0"/>
                <w:numId w:val="6"/>
              </w:numPr>
              <w:snapToGrid w:val="0"/>
              <w:spacing w:before="0" w:beforeLines="0" w:after="0" w:line="260" w:lineRule="auto"/>
              <w:ind w:left="220" w:hanging="220"/>
              <w:rPr>
                <w:sz w:val="18"/>
                <w:szCs w:val="18"/>
                <w:lang w:eastAsia="en-US"/>
              </w:rPr>
            </w:pPr>
            <w:r>
              <w:rPr>
                <w:rFonts w:hint="eastAsia"/>
                <w:sz w:val="18"/>
                <w:szCs w:val="18"/>
                <w:lang w:eastAsia="en-US"/>
              </w:rPr>
              <w:t>No impact on ASN.1</w:t>
            </w:r>
          </w:p>
        </w:tc>
        <w:tc>
          <w:tcPr>
            <w:tcW w:w="3219" w:type="dxa"/>
            <w:vAlign w:val="center"/>
          </w:tcPr>
          <w:p>
            <w:pPr>
              <w:numPr>
                <w:ilvl w:val="0"/>
                <w:numId w:val="6"/>
              </w:numPr>
              <w:snapToGrid w:val="0"/>
              <w:spacing w:before="0" w:beforeLines="0" w:after="0" w:line="260" w:lineRule="auto"/>
              <w:ind w:left="220" w:hanging="220"/>
              <w:rPr>
                <w:sz w:val="18"/>
                <w:szCs w:val="18"/>
                <w:lang w:eastAsia="en-US"/>
              </w:rPr>
            </w:pPr>
            <w:r>
              <w:rPr>
                <w:rFonts w:hint="eastAsia"/>
                <w:sz w:val="18"/>
                <w:szCs w:val="18"/>
                <w:lang w:eastAsia="en-US"/>
              </w:rPr>
              <w:t xml:space="preserve">May cause one additional slot interruption in some cases(Note). </w:t>
            </w:r>
          </w:p>
        </w:tc>
        <w:tc>
          <w:tcPr>
            <w:tcW w:w="2735" w:type="dxa"/>
            <w:vAlign w:val="center"/>
          </w:tcPr>
          <w:p>
            <w:pPr>
              <w:numPr>
                <w:ilvl w:val="0"/>
                <w:numId w:val="6"/>
              </w:numPr>
              <w:snapToGrid w:val="0"/>
              <w:spacing w:before="0" w:beforeLines="0" w:after="0" w:line="260" w:lineRule="auto"/>
              <w:ind w:left="220" w:hanging="220"/>
              <w:rPr>
                <w:sz w:val="18"/>
                <w:szCs w:val="18"/>
                <w:lang w:eastAsia="en-US"/>
              </w:rPr>
            </w:pPr>
            <w:r>
              <w:rPr>
                <w:rFonts w:hint="eastAsia"/>
                <w:sz w:val="18"/>
                <w:szCs w:val="18"/>
                <w:lang w:eastAsia="en-US"/>
              </w:rPr>
              <w:t>No impact on ASN.1;</w:t>
            </w:r>
          </w:p>
          <w:p>
            <w:pPr>
              <w:numPr>
                <w:ilvl w:val="0"/>
                <w:numId w:val="6"/>
              </w:numPr>
              <w:snapToGrid w:val="0"/>
              <w:spacing w:before="0" w:beforeLines="0" w:after="0" w:line="260" w:lineRule="auto"/>
              <w:ind w:left="220" w:hanging="220"/>
              <w:rPr>
                <w:sz w:val="18"/>
                <w:szCs w:val="18"/>
                <w:lang w:eastAsia="en-US"/>
              </w:rPr>
            </w:pPr>
            <w:r>
              <w:rPr>
                <w:rFonts w:hint="eastAsia"/>
                <w:sz w:val="18"/>
                <w:szCs w:val="18"/>
                <w:lang w:eastAsia="en-US"/>
              </w:rPr>
              <w:t xml:space="preserve">Add Note in text procedure for clarification(similar with per-UE/FR1 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jc w:val="center"/>
        </w:trPr>
        <w:tc>
          <w:tcPr>
            <w:tcW w:w="9553" w:type="dxa"/>
            <w:gridSpan w:val="4"/>
            <w:vAlign w:val="center"/>
          </w:tcPr>
          <w:p>
            <w:pPr>
              <w:snapToGrid w:val="0"/>
              <w:spacing w:before="0" w:beforeLines="0" w:after="0" w:line="260" w:lineRule="auto"/>
              <w:rPr>
                <w:sz w:val="18"/>
                <w:szCs w:val="18"/>
                <w:lang w:eastAsia="en-US"/>
              </w:rPr>
            </w:pPr>
            <w:r>
              <w:rPr>
                <w:rFonts w:hint="eastAsia"/>
                <w:sz w:val="18"/>
                <w:szCs w:val="18"/>
                <w:lang w:eastAsia="en-US"/>
              </w:rPr>
              <w:t>Note: When PSCell(EN-DC) and PCell(NR SA) is operating on FR1 frequency, and the timing difference between P</w:t>
            </w:r>
            <w:r>
              <w:rPr>
                <w:rFonts w:hint="eastAsia"/>
                <w:sz w:val="18"/>
                <w:szCs w:val="18"/>
                <w:lang w:val="en-US" w:eastAsia="zh-CN"/>
              </w:rPr>
              <w:t>S</w:t>
            </w:r>
            <w:r>
              <w:rPr>
                <w:rFonts w:hint="eastAsia"/>
                <w:sz w:val="18"/>
                <w:szCs w:val="18"/>
                <w:lang w:eastAsia="en-US"/>
              </w:rPr>
              <w:t>Cell(PCell) and FR2 serving cell is larger than one FR2 ofdm symbol</w:t>
            </w:r>
            <w:r>
              <w:rPr>
                <w:rFonts w:hint="eastAsia"/>
                <w:sz w:val="18"/>
                <w:szCs w:val="18"/>
                <w:lang w:val="en-US" w:eastAsia="zh-CN"/>
              </w:rPr>
              <w:t>(or the requirement defined in RAN4)</w:t>
            </w:r>
            <w:r>
              <w:rPr>
                <w:rFonts w:hint="eastAsia"/>
                <w:sz w:val="18"/>
                <w:szCs w:val="18"/>
                <w:lang w:eastAsia="en-US"/>
              </w:rPr>
              <w:t>.</w:t>
            </w:r>
          </w:p>
        </w:tc>
      </w:tr>
    </w:tbl>
    <w:p>
      <w:pPr>
        <w:spacing w:before="156"/>
        <w:rPr>
          <w:rFonts w:hint="eastAsia"/>
          <w:lang w:val="en-US" w:eastAsia="zh-CN"/>
        </w:rPr>
      </w:pPr>
      <w:r>
        <w:rPr>
          <w:rFonts w:hint="eastAsia"/>
        </w:rPr>
        <w:t>In our opinion, Option2 is simple</w:t>
      </w:r>
      <w:r>
        <w:rPr>
          <w:rFonts w:hint="eastAsia"/>
          <w:lang w:val="en-US" w:eastAsia="zh-CN"/>
        </w:rPr>
        <w:t>r</w:t>
      </w:r>
      <w:r>
        <w:rPr>
          <w:rFonts w:hint="eastAsia"/>
        </w:rPr>
        <w:t xml:space="preserve"> and more preferable without ASN.1 impacted, for the drawback of option2, it is already exist in per-UE and FR1 gap cases. </w:t>
      </w:r>
      <w:r>
        <w:t>In comparison</w:t>
      </w:r>
      <w:r>
        <w:rPr>
          <w:rFonts w:hint="eastAsia"/>
        </w:rPr>
        <w:t>, the drawback of Option1 is a bit unacceptable due to network is forced to reconfigure gapOffset</w:t>
      </w:r>
      <w:r>
        <w:rPr>
          <w:rFonts w:hint="eastAsia"/>
          <w:lang w:val="en-US" w:eastAsia="zh-CN"/>
        </w:rPr>
        <w:t>, if network wants to keep the absolute gap position</w:t>
      </w:r>
      <w:r>
        <w:rPr>
          <w:rFonts w:hint="eastAsia"/>
        </w:rPr>
        <w:t xml:space="preserve"> when the </w:t>
      </w:r>
      <w:r>
        <w:rPr>
          <w:rFonts w:hint="eastAsia"/>
          <w:lang w:val="en-US" w:eastAsia="zh-CN"/>
        </w:rPr>
        <w:t xml:space="preserve">previous </w:t>
      </w:r>
      <w:r>
        <w:rPr>
          <w:rFonts w:hint="eastAsia"/>
        </w:rPr>
        <w:t xml:space="preserve">indicated SCell is released, </w:t>
      </w:r>
      <w:r>
        <w:rPr>
          <w:rFonts w:hint="eastAsia"/>
          <w:lang w:val="en-US" w:eastAsia="zh-CN"/>
        </w:rPr>
        <w:t>besides,</w:t>
      </w:r>
      <w:r>
        <w:rPr>
          <w:rFonts w:hint="eastAsia"/>
        </w:rPr>
        <w:t xml:space="preserve"> it may lead to late MR </w:t>
      </w:r>
      <w:r>
        <w:rPr>
          <w:rFonts w:hint="eastAsia"/>
          <w:lang w:val="en-US" w:eastAsia="zh-CN"/>
        </w:rPr>
        <w:t>because all measurements are reset upon gap configuration change</w:t>
      </w:r>
      <w:r>
        <w:rPr>
          <w:rFonts w:hint="eastAsia"/>
        </w:rPr>
        <w:t>.</w:t>
      </w:r>
      <w:r>
        <w:rPr>
          <w:rFonts w:hint="eastAsia"/>
          <w:lang w:val="en-US" w:eastAsia="zh-CN"/>
        </w:rPr>
        <w:t xml:space="preserve"> </w:t>
      </w:r>
    </w:p>
    <w:p>
      <w:pPr>
        <w:spacing w:before="156"/>
      </w:pPr>
      <w:r>
        <w:rPr>
          <w:rFonts w:hint="eastAsia"/>
          <w:lang w:val="en-US" w:eastAsia="zh-CN"/>
        </w:rPr>
        <w:t>In addition, regarding NRnR</w:t>
      </w:r>
      <w:r>
        <w:rPr>
          <w:rFonts w:hint="eastAsia"/>
        </w:rPr>
        <w:t xml:space="preserve"> So we propose to adopt Option2 in RAN2.</w:t>
      </w:r>
    </w:p>
    <w:p>
      <w:pPr>
        <w:spacing w:before="156" w:after="156" w:afterLines="50"/>
        <w:ind w:left="1202" w:hanging="1202" w:hangingChars="570"/>
        <w:rPr>
          <w:b/>
        </w:rPr>
      </w:pPr>
      <w:r>
        <w:rPr>
          <w:rFonts w:hint="eastAsia"/>
          <w:b/>
        </w:rPr>
        <w:t>Proposal 1:</w:t>
      </w:r>
      <w:r>
        <w:rPr>
          <w:rFonts w:hint="eastAsia"/>
          <w:b/>
        </w:rPr>
        <w:tab/>
      </w:r>
      <w:r>
        <w:rPr>
          <w:rFonts w:hint="eastAsia"/>
          <w:b/>
        </w:rPr>
        <w:t xml:space="preserve">UE calculates FR2 gap based on the SFN and subframe of the pre-defined cell(i.e. PSCell in </w:t>
      </w:r>
      <w:r>
        <w:rPr>
          <w:b/>
        </w:rPr>
        <w:t xml:space="preserve">case of </w:t>
      </w:r>
      <w:r>
        <w:rPr>
          <w:rFonts w:hint="eastAsia"/>
          <w:b/>
        </w:rPr>
        <w:t xml:space="preserve">EN-DC; PCell in </w:t>
      </w:r>
      <w:r>
        <w:rPr>
          <w:b/>
        </w:rPr>
        <w:t xml:space="preserve">case of </w:t>
      </w:r>
      <w:r>
        <w:rPr>
          <w:rFonts w:hint="eastAsia"/>
          <w:b/>
        </w:rPr>
        <w:t>NR SA).</w:t>
      </w:r>
    </w:p>
    <w:p>
      <w:pPr>
        <w:spacing w:before="156"/>
      </w:pPr>
      <w:r>
        <w:rPr>
          <w:rFonts w:hint="eastAsia"/>
        </w:rPr>
        <w:t xml:space="preserve">The corresponding </w:t>
      </w:r>
      <w:r>
        <w:rPr>
          <w:rFonts w:hint="eastAsia"/>
          <w:lang w:val="en-US" w:eastAsia="zh-CN"/>
        </w:rPr>
        <w:t>CR</w:t>
      </w:r>
      <w:r>
        <w:rPr>
          <w:rFonts w:hint="eastAsia"/>
        </w:rPr>
        <w:t xml:space="preserve"> to TS38.331 is provided</w:t>
      </w:r>
      <w:r>
        <w:rPr>
          <w:rFonts w:hint="eastAsia"/>
          <w:lang w:val="en-US" w:eastAsia="zh-CN"/>
        </w:rPr>
        <w:t xml:space="preserve"> in [2]</w:t>
      </w:r>
      <w:r>
        <w:rPr>
          <w:rFonts w:hint="eastAsia"/>
        </w:rPr>
        <w:t>.</w:t>
      </w:r>
    </w:p>
    <w:p>
      <w:pPr>
        <w:spacing w:before="156" w:after="156" w:afterLines="50"/>
        <w:ind w:left="1202" w:hanging="1202" w:hangingChars="570"/>
        <w:rPr>
          <w:b/>
        </w:rPr>
      </w:pPr>
      <w:r>
        <w:rPr>
          <w:rFonts w:hint="eastAsia"/>
          <w:b/>
        </w:rPr>
        <w:t>Proposal 2:</w:t>
      </w:r>
      <w:r>
        <w:rPr>
          <w:rFonts w:hint="eastAsia"/>
          <w:b/>
        </w:rPr>
        <w:tab/>
      </w:r>
      <w:r>
        <w:rPr>
          <w:rFonts w:hint="eastAsia"/>
          <w:b/>
        </w:rPr>
        <w:t xml:space="preserve">Adopt the corresponding </w:t>
      </w:r>
      <w:r>
        <w:rPr>
          <w:rFonts w:hint="eastAsia"/>
          <w:b/>
          <w:lang w:val="en-US" w:eastAsia="zh-CN"/>
        </w:rPr>
        <w:t>draftCR R2-1811597</w:t>
      </w:r>
      <w:r>
        <w:rPr>
          <w:rFonts w:hint="eastAsia"/>
          <w:b/>
        </w:rPr>
        <w:t>.</w:t>
      </w:r>
    </w:p>
    <w:p>
      <w:pPr>
        <w:spacing w:before="156"/>
      </w:pPr>
      <w:r>
        <w:rPr>
          <w:rFonts w:hint="eastAsia"/>
        </w:rPr>
        <w:t>In addition, i</w:t>
      </w:r>
      <w:r>
        <w:t>f</w:t>
      </w:r>
      <w:r>
        <w:rPr>
          <w:rFonts w:hint="eastAsia"/>
        </w:rPr>
        <w:t xml:space="preserve"> proposal</w:t>
      </w:r>
      <w:r>
        <w:t xml:space="preserve"> </w:t>
      </w:r>
      <w:r>
        <w:rPr>
          <w:rFonts w:hint="eastAsia"/>
        </w:rPr>
        <w:t>1 is agreed, it would be good to send an LS to RAN4</w:t>
      </w:r>
      <w:r>
        <w:t>,</w:t>
      </w:r>
      <w:r>
        <w:rPr>
          <w:rFonts w:hint="eastAsia"/>
        </w:rPr>
        <w:t xml:space="preserve"> to inform them </w:t>
      </w:r>
      <w:r>
        <w:rPr>
          <w:rFonts w:hint="eastAsia"/>
          <w:lang w:val="en-US" w:eastAsia="zh-CN"/>
        </w:rPr>
        <w:t>about</w:t>
      </w:r>
      <w:r>
        <w:t xml:space="preserve"> the</w:t>
      </w:r>
      <w:r>
        <w:rPr>
          <w:rFonts w:hint="eastAsia"/>
        </w:rPr>
        <w:t xml:space="preserve"> RAN2</w:t>
      </w:r>
      <w:r>
        <w:t>’</w:t>
      </w:r>
      <w:r>
        <w:rPr>
          <w:rFonts w:hint="eastAsia"/>
        </w:rPr>
        <w:t>s decision, then RAN4 can update their specs accordingly</w:t>
      </w:r>
      <w:r>
        <w:t xml:space="preserve"> if any</w:t>
      </w:r>
      <w:r>
        <w:rPr>
          <w:rFonts w:hint="eastAsia"/>
        </w:rPr>
        <w:t xml:space="preserve">. </w:t>
      </w:r>
    </w:p>
    <w:p>
      <w:pPr>
        <w:spacing w:before="156" w:after="156" w:afterLines="50"/>
        <w:ind w:left="1202" w:hanging="1202" w:hangingChars="570"/>
        <w:rPr>
          <w:b/>
        </w:rPr>
      </w:pPr>
      <w:r>
        <w:rPr>
          <w:rFonts w:hint="eastAsia"/>
          <w:b/>
        </w:rPr>
        <w:t>Proposal 3:</w:t>
      </w:r>
      <w:r>
        <w:rPr>
          <w:rFonts w:hint="eastAsia"/>
          <w:b/>
        </w:rPr>
        <w:tab/>
      </w:r>
      <w:r>
        <w:rPr>
          <w:rFonts w:hint="eastAsia"/>
          <w:b/>
        </w:rPr>
        <w:t>Send LS to RAN4 to inform</w:t>
      </w:r>
      <w:r>
        <w:rPr>
          <w:rFonts w:hint="eastAsia"/>
          <w:b/>
          <w:lang w:val="en-US" w:eastAsia="zh-CN"/>
        </w:rPr>
        <w:t xml:space="preserve"> RAN4 about</w:t>
      </w:r>
      <w:r>
        <w:rPr>
          <w:rFonts w:hint="eastAsia"/>
          <w:b/>
        </w:rPr>
        <w:t xml:space="preserve"> RAN2</w:t>
      </w:r>
      <w:r>
        <w:rPr>
          <w:b/>
        </w:rPr>
        <w:t>’</w:t>
      </w:r>
      <w:r>
        <w:rPr>
          <w:rFonts w:hint="eastAsia"/>
          <w:b/>
        </w:rPr>
        <w:t xml:space="preserve">s decision.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pPr>
      <w:r>
        <w:rPr>
          <w:sz w:val="22"/>
        </w:rPr>
        <w:t xml:space="preserve">RAN2 is kindly </w:t>
      </w:r>
      <w:r>
        <w:rPr>
          <w:rFonts w:hint="eastAsia"/>
        </w:rPr>
        <w:t xml:space="preserve">asked </w:t>
      </w:r>
      <w:r>
        <w:rPr>
          <w:sz w:val="22"/>
        </w:rPr>
        <w:t>to discuss and adopt the following proposal</w:t>
      </w:r>
      <w:r>
        <w:t>:</w:t>
      </w:r>
    </w:p>
    <w:p>
      <w:pPr>
        <w:spacing w:before="156" w:after="156" w:afterLines="50"/>
        <w:ind w:left="1202" w:hanging="1202" w:hangingChars="570"/>
        <w:rPr>
          <w:b/>
        </w:rPr>
      </w:pPr>
      <w:r>
        <w:rPr>
          <w:rFonts w:hint="eastAsia"/>
          <w:b/>
        </w:rPr>
        <w:t>Proposal 1:</w:t>
      </w:r>
      <w:r>
        <w:rPr>
          <w:rFonts w:hint="eastAsia"/>
          <w:b/>
        </w:rPr>
        <w:tab/>
      </w:r>
      <w:r>
        <w:rPr>
          <w:rFonts w:hint="eastAsia"/>
          <w:b/>
        </w:rPr>
        <w:t>UE calculates FR2 gap based on the SFN and subframe of the pre-defined cell(i.e. PSCell in EN-DC; PCell in NR SA).</w:t>
      </w:r>
    </w:p>
    <w:p>
      <w:pPr>
        <w:spacing w:before="156" w:after="156" w:afterLines="50"/>
        <w:ind w:left="1202" w:hanging="1202" w:hangingChars="570"/>
        <w:rPr>
          <w:b/>
        </w:rPr>
      </w:pPr>
      <w:r>
        <w:rPr>
          <w:rFonts w:hint="eastAsia"/>
          <w:b/>
        </w:rPr>
        <w:t>Proposal 2:</w:t>
      </w:r>
      <w:r>
        <w:rPr>
          <w:rFonts w:hint="eastAsia"/>
          <w:b/>
        </w:rPr>
        <w:tab/>
      </w:r>
      <w:r>
        <w:rPr>
          <w:rFonts w:hint="eastAsia"/>
          <w:b/>
        </w:rPr>
        <w:t xml:space="preserve">Adopt the corresponding </w:t>
      </w:r>
      <w:r>
        <w:rPr>
          <w:rFonts w:hint="eastAsia"/>
          <w:b/>
          <w:lang w:val="en-US" w:eastAsia="zh-CN"/>
        </w:rPr>
        <w:t>draftCR R2-1811597</w:t>
      </w:r>
      <w:r>
        <w:rPr>
          <w:rFonts w:hint="eastAsia"/>
          <w:b/>
        </w:rPr>
        <w:t>.</w:t>
      </w:r>
      <w:bookmarkStart w:id="2" w:name="_GoBack"/>
      <w:bookmarkEnd w:id="2"/>
    </w:p>
    <w:p>
      <w:pPr>
        <w:spacing w:before="156" w:after="156" w:afterLines="50"/>
        <w:ind w:left="1202" w:hanging="1202" w:hangingChars="570"/>
        <w:rPr>
          <w:b/>
        </w:rPr>
      </w:pPr>
      <w:r>
        <w:rPr>
          <w:rFonts w:hint="eastAsia"/>
          <w:b/>
        </w:rPr>
        <w:t>Proposal 3:</w:t>
      </w:r>
      <w:r>
        <w:rPr>
          <w:rFonts w:hint="eastAsia"/>
          <w:b/>
        </w:rPr>
        <w:tab/>
      </w:r>
      <w:r>
        <w:rPr>
          <w:rFonts w:hint="eastAsia"/>
          <w:b/>
        </w:rPr>
        <w:t>Send LS to RAN4 to inform</w:t>
      </w:r>
      <w:r>
        <w:rPr>
          <w:rFonts w:hint="eastAsia"/>
          <w:b/>
          <w:lang w:val="en-US" w:eastAsia="zh-CN"/>
        </w:rPr>
        <w:t xml:space="preserve"> RAN4 about</w:t>
      </w:r>
      <w:r>
        <w:rPr>
          <w:rFonts w:hint="eastAsia"/>
          <w:b/>
        </w:rPr>
        <w:t xml:space="preserve"> RAN2</w:t>
      </w:r>
      <w:r>
        <w:rPr>
          <w:b/>
        </w:rPr>
        <w:t>’</w:t>
      </w:r>
      <w:r>
        <w:rPr>
          <w:rFonts w:hint="eastAsia"/>
          <w:b/>
        </w:rPr>
        <w:t xml:space="preserve">s decision.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7"/>
        </w:numPr>
        <w:spacing w:before="156" w:after="156" w:afterLines="50"/>
        <w:rPr>
          <w:bCs/>
        </w:rPr>
      </w:pPr>
      <w:r>
        <w:rPr>
          <w:rFonts w:hint="eastAsia"/>
          <w:bCs/>
        </w:rPr>
        <w:t xml:space="preserve">R4-1809316 </w:t>
      </w:r>
      <w:r>
        <w:t>CR on gap interruption requirements in TS38.133</w:t>
      </w:r>
      <w:r>
        <w:rPr>
          <w:rFonts w:hint="eastAsia"/>
          <w:bCs/>
        </w:rPr>
        <w:tab/>
      </w:r>
      <w:r>
        <w:rPr>
          <w:rFonts w:hint="eastAsia"/>
          <w:bCs/>
        </w:rPr>
        <w:tab/>
      </w:r>
      <w:r>
        <w:t>Mediatek, ZTE</w:t>
      </w:r>
      <w:r>
        <w:rPr>
          <w:rFonts w:hint="eastAsia"/>
          <w:bCs/>
        </w:rPr>
        <w:t xml:space="preserve">  DraftCR;</w:t>
      </w:r>
    </w:p>
    <w:p>
      <w:pPr>
        <w:numPr>
          <w:ilvl w:val="0"/>
          <w:numId w:val="7"/>
        </w:numPr>
        <w:spacing w:before="156" w:after="156" w:afterLines="50"/>
        <w:rPr>
          <w:bCs/>
        </w:rPr>
      </w:pPr>
      <w:r>
        <w:rPr>
          <w:rFonts w:hint="eastAsia"/>
          <w:bCs/>
        </w:rPr>
        <w:t>R2-181</w:t>
      </w:r>
      <w:r>
        <w:rPr>
          <w:rFonts w:hint="eastAsia"/>
          <w:bCs/>
          <w:lang w:val="en-US" w:eastAsia="zh-CN"/>
        </w:rPr>
        <w:t>1597 CR for timing reference of FR2 gap</w:t>
      </w:r>
      <w:r>
        <w:rPr>
          <w:rFonts w:hint="eastAsia"/>
          <w:bCs/>
          <w:lang w:val="en-US" w:eastAsia="zh-CN"/>
        </w:rPr>
        <w:tab/>
      </w:r>
      <w:r>
        <w:rPr>
          <w:rFonts w:hint="eastAsia"/>
          <w:bCs/>
          <w:lang w:val="en-US" w:eastAsia="zh-CN"/>
        </w:rPr>
        <w:tab/>
      </w:r>
      <w:r>
        <w:rPr>
          <w:rFonts w:hint="eastAsia"/>
          <w:bCs/>
          <w:lang w:val="en-US" w:eastAsia="zh-CN"/>
        </w:rPr>
        <w:tab/>
      </w:r>
      <w:r>
        <w:rPr>
          <w:rFonts w:hint="eastAsia"/>
          <w:bCs/>
          <w:lang w:val="en-US" w:eastAsia="zh-CN"/>
        </w:rPr>
        <w:t>ZTE Corporation, Sanechips   DraftCR.</w:t>
      </w:r>
      <w:r>
        <w:rPr>
          <w:rFonts w:hint="eastAsia"/>
          <w:bCs/>
        </w:rPr>
        <w:t>.</w:t>
      </w:r>
    </w:p>
    <w:p>
      <w:pPr>
        <w:pStyle w:val="67"/>
        <w:spacing w:before="156"/>
        <w:ind w:firstLine="0" w:firstLineChars="0"/>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spacing w:before="120"/>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spacing w:before="120"/>
      <w:rPr>
        <w:rStyle w:val="58"/>
      </w:rPr>
    </w:pPr>
    <w:r>
      <w:rPr>
        <w:rStyle w:val="58"/>
      </w:rPr>
      <w:fldChar w:fldCharType="begin"/>
    </w:r>
    <w:r>
      <w:rPr>
        <w:rStyle w:val="58"/>
      </w:rPr>
      <w:instrText xml:space="preserve">PAGE  </w:instrText>
    </w:r>
    <w:r>
      <w:rPr>
        <w:rStyle w:val="58"/>
      </w:rPr>
      <w:fldChar w:fldCharType="end"/>
    </w:r>
  </w:p>
  <w:p>
    <w:pPr>
      <w:pStyle w:val="38"/>
      <w:spacing w:before="12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spacing w:before="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D57A4D"/>
    <w:multiLevelType w:val="singleLevel"/>
    <w:tmpl w:val="BBD57A4D"/>
    <w:lvl w:ilvl="0" w:tentative="0">
      <w:start w:val="1"/>
      <w:numFmt w:val="decimal"/>
      <w:suff w:val="space"/>
      <w:lvlText w:val="[%1]"/>
      <w:lvlJc w:val="left"/>
      <w:pPr>
        <w:ind w:left="105" w:firstLine="0"/>
      </w:p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6CBA3E8"/>
    <w:multiLevelType w:val="singleLevel"/>
    <w:tmpl w:val="06CBA3E8"/>
    <w:lvl w:ilvl="0" w:tentative="0">
      <w:start w:val="1"/>
      <w:numFmt w:val="bullet"/>
      <w:lvlText w:val="▪"/>
      <w:lvlJc w:val="left"/>
      <w:pPr>
        <w:ind w:left="420" w:hanging="420"/>
      </w:pPr>
      <w:rPr>
        <w:rFonts w:hint="default" w:ascii="Arial" w:hAnsi="Arial" w:cs="Arial"/>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E52DA83"/>
    <w:multiLevelType w:val="singleLevel"/>
    <w:tmpl w:val="3E52DA83"/>
    <w:lvl w:ilvl="0" w:tentative="0">
      <w:start w:val="1"/>
      <w:numFmt w:val="bullet"/>
      <w:lvlText w:val=""/>
      <w:lvlJc w:val="left"/>
      <w:pPr>
        <w:ind w:left="420" w:hanging="420"/>
      </w:pPr>
      <w:rPr>
        <w:rFonts w:hint="default" w:ascii="Wingdings" w:hAnsi="Wingdings"/>
      </w:r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7890030A"/>
    <w:multiLevelType w:val="multilevel"/>
    <w:tmpl w:val="789003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5"/>
  </w:num>
  <w:num w:numId="3">
    <w:abstractNumId w:val="3"/>
  </w:num>
  <w:num w:numId="4">
    <w:abstractNumId w:val="6"/>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439F7"/>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1C4E"/>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23F"/>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E95"/>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ADE"/>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020"/>
    <w:rsid w:val="00633DA7"/>
    <w:rsid w:val="006357BD"/>
    <w:rsid w:val="006408DC"/>
    <w:rsid w:val="006413AD"/>
    <w:rsid w:val="00643A7A"/>
    <w:rsid w:val="0064545A"/>
    <w:rsid w:val="006503F8"/>
    <w:rsid w:val="00650D0F"/>
    <w:rsid w:val="00651856"/>
    <w:rsid w:val="006521E7"/>
    <w:rsid w:val="0065579F"/>
    <w:rsid w:val="00667CF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D7E77"/>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83B"/>
    <w:rsid w:val="009269F5"/>
    <w:rsid w:val="00930CAD"/>
    <w:rsid w:val="009400CF"/>
    <w:rsid w:val="00940533"/>
    <w:rsid w:val="009432FE"/>
    <w:rsid w:val="009438F8"/>
    <w:rsid w:val="00944414"/>
    <w:rsid w:val="00945FC0"/>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1912"/>
    <w:rsid w:val="009D2A16"/>
    <w:rsid w:val="009D6952"/>
    <w:rsid w:val="009E068F"/>
    <w:rsid w:val="009E1B89"/>
    <w:rsid w:val="009E619C"/>
    <w:rsid w:val="009E7020"/>
    <w:rsid w:val="009E7045"/>
    <w:rsid w:val="009E748B"/>
    <w:rsid w:val="009F2244"/>
    <w:rsid w:val="009F3D12"/>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0C08"/>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76E76"/>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296C"/>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441D"/>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2412"/>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6079F"/>
    <w:rsid w:val="00F64EA5"/>
    <w:rsid w:val="00F65F4F"/>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6B48AA"/>
    <w:rsid w:val="07771801"/>
    <w:rsid w:val="07825B13"/>
    <w:rsid w:val="07864148"/>
    <w:rsid w:val="07AE0C6B"/>
    <w:rsid w:val="07CE088B"/>
    <w:rsid w:val="085636D7"/>
    <w:rsid w:val="08B665B2"/>
    <w:rsid w:val="09F42949"/>
    <w:rsid w:val="0ADA27AB"/>
    <w:rsid w:val="0AE94DEF"/>
    <w:rsid w:val="0B233C4C"/>
    <w:rsid w:val="0B8E6116"/>
    <w:rsid w:val="0BBA73C0"/>
    <w:rsid w:val="0C085429"/>
    <w:rsid w:val="0CB302D0"/>
    <w:rsid w:val="0CD63978"/>
    <w:rsid w:val="0CFF2AF0"/>
    <w:rsid w:val="0D903FA1"/>
    <w:rsid w:val="0D9F789E"/>
    <w:rsid w:val="0E6675E9"/>
    <w:rsid w:val="0E7304E4"/>
    <w:rsid w:val="0F0670A0"/>
    <w:rsid w:val="0F117F9B"/>
    <w:rsid w:val="0F292443"/>
    <w:rsid w:val="0FDD0A05"/>
    <w:rsid w:val="0FF22E1E"/>
    <w:rsid w:val="10A9014C"/>
    <w:rsid w:val="10D00944"/>
    <w:rsid w:val="10E66856"/>
    <w:rsid w:val="121151DD"/>
    <w:rsid w:val="124A3B3D"/>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91B3FEB"/>
    <w:rsid w:val="19AE06BF"/>
    <w:rsid w:val="19B53C17"/>
    <w:rsid w:val="19B84071"/>
    <w:rsid w:val="19D81B97"/>
    <w:rsid w:val="19DD310A"/>
    <w:rsid w:val="19F410FE"/>
    <w:rsid w:val="1A5646A0"/>
    <w:rsid w:val="1AF612E6"/>
    <w:rsid w:val="1B1962E0"/>
    <w:rsid w:val="1B6E36D8"/>
    <w:rsid w:val="1BFE2EE5"/>
    <w:rsid w:val="1C687840"/>
    <w:rsid w:val="1CBC410B"/>
    <w:rsid w:val="1CFD6B5F"/>
    <w:rsid w:val="1D60281E"/>
    <w:rsid w:val="1D8D7C67"/>
    <w:rsid w:val="1E9373AE"/>
    <w:rsid w:val="1F7230F8"/>
    <w:rsid w:val="20582F06"/>
    <w:rsid w:val="205A1B67"/>
    <w:rsid w:val="211A1954"/>
    <w:rsid w:val="21CC05A1"/>
    <w:rsid w:val="224061F6"/>
    <w:rsid w:val="22515BB4"/>
    <w:rsid w:val="225D0863"/>
    <w:rsid w:val="22787D6E"/>
    <w:rsid w:val="22960D42"/>
    <w:rsid w:val="229B6085"/>
    <w:rsid w:val="22AC71C4"/>
    <w:rsid w:val="22EB71DA"/>
    <w:rsid w:val="234C36DC"/>
    <w:rsid w:val="239E54D8"/>
    <w:rsid w:val="23C26AFA"/>
    <w:rsid w:val="23CC2B77"/>
    <w:rsid w:val="242B5E7E"/>
    <w:rsid w:val="2451628F"/>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B257241"/>
    <w:rsid w:val="2C1057E5"/>
    <w:rsid w:val="2CC87E6F"/>
    <w:rsid w:val="2CE60D81"/>
    <w:rsid w:val="2DA64CFE"/>
    <w:rsid w:val="2E9A0203"/>
    <w:rsid w:val="2E9C3162"/>
    <w:rsid w:val="2EAC79D3"/>
    <w:rsid w:val="2F10116D"/>
    <w:rsid w:val="2F1078C3"/>
    <w:rsid w:val="2FA04582"/>
    <w:rsid w:val="2FA73BC2"/>
    <w:rsid w:val="30906EDC"/>
    <w:rsid w:val="30BC181C"/>
    <w:rsid w:val="30D7158A"/>
    <w:rsid w:val="311C6F65"/>
    <w:rsid w:val="31F51D67"/>
    <w:rsid w:val="3274443B"/>
    <w:rsid w:val="32A970E6"/>
    <w:rsid w:val="33366343"/>
    <w:rsid w:val="335D01AB"/>
    <w:rsid w:val="33CE46B3"/>
    <w:rsid w:val="34035E02"/>
    <w:rsid w:val="34164647"/>
    <w:rsid w:val="344C1A43"/>
    <w:rsid w:val="349C563D"/>
    <w:rsid w:val="35137B68"/>
    <w:rsid w:val="36314129"/>
    <w:rsid w:val="378E702D"/>
    <w:rsid w:val="37B164B2"/>
    <w:rsid w:val="37BD3193"/>
    <w:rsid w:val="37C65713"/>
    <w:rsid w:val="37E06357"/>
    <w:rsid w:val="38214920"/>
    <w:rsid w:val="38487BE4"/>
    <w:rsid w:val="38AA67C6"/>
    <w:rsid w:val="39807CC0"/>
    <w:rsid w:val="399C4C31"/>
    <w:rsid w:val="39D626D1"/>
    <w:rsid w:val="39F30B3F"/>
    <w:rsid w:val="3A0557BB"/>
    <w:rsid w:val="3B2F0F23"/>
    <w:rsid w:val="3B360523"/>
    <w:rsid w:val="3B4D53CA"/>
    <w:rsid w:val="3CF07E1D"/>
    <w:rsid w:val="3D1839A9"/>
    <w:rsid w:val="3D7D6E14"/>
    <w:rsid w:val="3DCF2E0D"/>
    <w:rsid w:val="3DF07251"/>
    <w:rsid w:val="3F22265A"/>
    <w:rsid w:val="3F5E685A"/>
    <w:rsid w:val="3F6447BD"/>
    <w:rsid w:val="3F6716E0"/>
    <w:rsid w:val="3F6F3D8F"/>
    <w:rsid w:val="3F751146"/>
    <w:rsid w:val="3F7817C5"/>
    <w:rsid w:val="3F8B7650"/>
    <w:rsid w:val="403409ED"/>
    <w:rsid w:val="413A1483"/>
    <w:rsid w:val="4186127A"/>
    <w:rsid w:val="42241D93"/>
    <w:rsid w:val="43075B38"/>
    <w:rsid w:val="432C35DA"/>
    <w:rsid w:val="43F773D4"/>
    <w:rsid w:val="444F0F50"/>
    <w:rsid w:val="445F34EB"/>
    <w:rsid w:val="44807771"/>
    <w:rsid w:val="44B3345F"/>
    <w:rsid w:val="44C70D28"/>
    <w:rsid w:val="44CA5ED0"/>
    <w:rsid w:val="44F84F89"/>
    <w:rsid w:val="464C7438"/>
    <w:rsid w:val="465002DF"/>
    <w:rsid w:val="47BA7497"/>
    <w:rsid w:val="47C90932"/>
    <w:rsid w:val="47CC43E5"/>
    <w:rsid w:val="480313B7"/>
    <w:rsid w:val="48A615D1"/>
    <w:rsid w:val="49E06BA9"/>
    <w:rsid w:val="4A6B42BA"/>
    <w:rsid w:val="4A78750E"/>
    <w:rsid w:val="4AF063BB"/>
    <w:rsid w:val="4B03481E"/>
    <w:rsid w:val="4B1F4A36"/>
    <w:rsid w:val="4B26478F"/>
    <w:rsid w:val="4BE9380A"/>
    <w:rsid w:val="4CCE58DF"/>
    <w:rsid w:val="4D833BDD"/>
    <w:rsid w:val="4D8F1420"/>
    <w:rsid w:val="4D9133D7"/>
    <w:rsid w:val="4DA259C6"/>
    <w:rsid w:val="4EED0ECB"/>
    <w:rsid w:val="4F153710"/>
    <w:rsid w:val="4F32192C"/>
    <w:rsid w:val="4F574BF0"/>
    <w:rsid w:val="4F5D1159"/>
    <w:rsid w:val="4F6911F6"/>
    <w:rsid w:val="4F6B5B31"/>
    <w:rsid w:val="4F7702B4"/>
    <w:rsid w:val="4F861A22"/>
    <w:rsid w:val="505D60F8"/>
    <w:rsid w:val="5090385D"/>
    <w:rsid w:val="509E51F9"/>
    <w:rsid w:val="50DC5240"/>
    <w:rsid w:val="513A38F8"/>
    <w:rsid w:val="518642B9"/>
    <w:rsid w:val="52997015"/>
    <w:rsid w:val="52EF7AFD"/>
    <w:rsid w:val="53785995"/>
    <w:rsid w:val="538B6A18"/>
    <w:rsid w:val="54055632"/>
    <w:rsid w:val="541344B2"/>
    <w:rsid w:val="542C047E"/>
    <w:rsid w:val="54D34AE9"/>
    <w:rsid w:val="555F2D5C"/>
    <w:rsid w:val="55707D6E"/>
    <w:rsid w:val="55D03F0D"/>
    <w:rsid w:val="56570DDF"/>
    <w:rsid w:val="56661008"/>
    <w:rsid w:val="566E68DC"/>
    <w:rsid w:val="567224AC"/>
    <w:rsid w:val="56D415F4"/>
    <w:rsid w:val="56E91F0E"/>
    <w:rsid w:val="57006206"/>
    <w:rsid w:val="570944D3"/>
    <w:rsid w:val="572B6F10"/>
    <w:rsid w:val="575007FA"/>
    <w:rsid w:val="57CC2AB5"/>
    <w:rsid w:val="58220522"/>
    <w:rsid w:val="588B6889"/>
    <w:rsid w:val="598F4BEC"/>
    <w:rsid w:val="599D4276"/>
    <w:rsid w:val="59F41719"/>
    <w:rsid w:val="5A3568A9"/>
    <w:rsid w:val="5A546117"/>
    <w:rsid w:val="5A914854"/>
    <w:rsid w:val="5A981FA2"/>
    <w:rsid w:val="5B9D3D8A"/>
    <w:rsid w:val="5BAC7B59"/>
    <w:rsid w:val="5BD910EB"/>
    <w:rsid w:val="5CC919BB"/>
    <w:rsid w:val="5CFE3025"/>
    <w:rsid w:val="5D53372E"/>
    <w:rsid w:val="5DBB697B"/>
    <w:rsid w:val="5E195987"/>
    <w:rsid w:val="5FD536BC"/>
    <w:rsid w:val="604F5B72"/>
    <w:rsid w:val="60755D7F"/>
    <w:rsid w:val="61084ACE"/>
    <w:rsid w:val="612E1C4D"/>
    <w:rsid w:val="61771608"/>
    <w:rsid w:val="624124FD"/>
    <w:rsid w:val="62B54036"/>
    <w:rsid w:val="63BB73BA"/>
    <w:rsid w:val="63CB5BC3"/>
    <w:rsid w:val="642B07CD"/>
    <w:rsid w:val="64E50EAD"/>
    <w:rsid w:val="65984F3F"/>
    <w:rsid w:val="659D6455"/>
    <w:rsid w:val="659E3CB8"/>
    <w:rsid w:val="65B277EC"/>
    <w:rsid w:val="65F73C65"/>
    <w:rsid w:val="66175F6C"/>
    <w:rsid w:val="662D5FB4"/>
    <w:rsid w:val="668F2C57"/>
    <w:rsid w:val="6694541D"/>
    <w:rsid w:val="66A10B7C"/>
    <w:rsid w:val="66B90322"/>
    <w:rsid w:val="66D30702"/>
    <w:rsid w:val="66D400FB"/>
    <w:rsid w:val="6742197E"/>
    <w:rsid w:val="67655F5B"/>
    <w:rsid w:val="676F688E"/>
    <w:rsid w:val="678A14A8"/>
    <w:rsid w:val="68F93924"/>
    <w:rsid w:val="69514322"/>
    <w:rsid w:val="69525EEC"/>
    <w:rsid w:val="69797C2C"/>
    <w:rsid w:val="69A97FD2"/>
    <w:rsid w:val="69CB3D72"/>
    <w:rsid w:val="69D04AC7"/>
    <w:rsid w:val="6A2D32EF"/>
    <w:rsid w:val="6A667D8E"/>
    <w:rsid w:val="6B095FA5"/>
    <w:rsid w:val="6B5758E6"/>
    <w:rsid w:val="6C272137"/>
    <w:rsid w:val="6CA14A31"/>
    <w:rsid w:val="6CA73C88"/>
    <w:rsid w:val="6CA87341"/>
    <w:rsid w:val="6CD616AD"/>
    <w:rsid w:val="6D1B16C6"/>
    <w:rsid w:val="6D624BE1"/>
    <w:rsid w:val="6E6A6492"/>
    <w:rsid w:val="6EF90FB6"/>
    <w:rsid w:val="6F372F1E"/>
    <w:rsid w:val="6F424DC6"/>
    <w:rsid w:val="70772371"/>
    <w:rsid w:val="70B268B6"/>
    <w:rsid w:val="70B646BA"/>
    <w:rsid w:val="70F424CE"/>
    <w:rsid w:val="71063756"/>
    <w:rsid w:val="71A04715"/>
    <w:rsid w:val="71D52274"/>
    <w:rsid w:val="71DA4E05"/>
    <w:rsid w:val="71E1412A"/>
    <w:rsid w:val="71E47FB5"/>
    <w:rsid w:val="7204157C"/>
    <w:rsid w:val="721C6CC0"/>
    <w:rsid w:val="72BF5DEB"/>
    <w:rsid w:val="735F52EF"/>
    <w:rsid w:val="738D7669"/>
    <w:rsid w:val="73C86FC2"/>
    <w:rsid w:val="74BE6C32"/>
    <w:rsid w:val="75056A82"/>
    <w:rsid w:val="750B18BC"/>
    <w:rsid w:val="758E056D"/>
    <w:rsid w:val="759A5A96"/>
    <w:rsid w:val="761E6675"/>
    <w:rsid w:val="76461F12"/>
    <w:rsid w:val="765014FD"/>
    <w:rsid w:val="765123BD"/>
    <w:rsid w:val="7696035D"/>
    <w:rsid w:val="76A01073"/>
    <w:rsid w:val="76C36392"/>
    <w:rsid w:val="76DD7FE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EB4CF5"/>
    <w:rsid w:val="7CFA37FD"/>
    <w:rsid w:val="7D093ADB"/>
    <w:rsid w:val="7DE92D22"/>
    <w:rsid w:val="7F294548"/>
    <w:rsid w:val="7F2C4E16"/>
    <w:rsid w:val="7F2D1942"/>
    <w:rsid w:val="7F381BCD"/>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30"/>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3"/>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99"/>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批注框文本 Char"/>
    <w:basedOn w:val="56"/>
    <w:link w:val="37"/>
    <w:qFormat/>
    <w:uiPriority w:val="0"/>
    <w:rPr>
      <w:kern w:val="2"/>
      <w:sz w:val="18"/>
      <w:szCs w:val="18"/>
    </w:rPr>
  </w:style>
  <w:style w:type="paragraph" w:customStyle="1" w:styleId="67">
    <w:name w:val="List Paragraph1"/>
    <w:basedOn w:val="1"/>
    <w:link w:val="272"/>
    <w:unhideWhenUsed/>
    <w:qFormat/>
    <w:uiPriority w:val="99"/>
    <w:pPr>
      <w:ind w:firstLine="420" w:firstLineChars="200"/>
    </w:pPr>
  </w:style>
  <w:style w:type="character" w:customStyle="1" w:styleId="68">
    <w:name w:val="文档结构图 Char"/>
    <w:basedOn w:val="56"/>
    <w:link w:val="25"/>
    <w:qFormat/>
    <w:uiPriority w:val="0"/>
    <w:rPr>
      <w:rFonts w:ascii="宋体"/>
      <w:kern w:val="2"/>
      <w:sz w:val="18"/>
      <w:szCs w:val="18"/>
    </w:rPr>
  </w:style>
  <w:style w:type="character" w:customStyle="1" w:styleId="69">
    <w:name w:val="标题 1 Char"/>
    <w:basedOn w:val="56"/>
    <w:link w:val="2"/>
    <w:qFormat/>
    <w:uiPriority w:val="0"/>
    <w:rPr>
      <w:rFonts w:eastAsiaTheme="minorEastAsia"/>
      <w:b/>
      <w:bCs/>
      <w:kern w:val="44"/>
      <w:sz w:val="30"/>
      <w:szCs w:val="44"/>
    </w:rPr>
  </w:style>
  <w:style w:type="character" w:customStyle="1" w:styleId="70">
    <w:name w:val="标题 2 Char"/>
    <w:basedOn w:val="56"/>
    <w:link w:val="3"/>
    <w:qFormat/>
    <w:uiPriority w:val="0"/>
    <w:rPr>
      <w:rFonts w:ascii="Arial" w:hAnsi="Arial" w:eastAsia="MS Mincho"/>
      <w:sz w:val="32"/>
      <w:szCs w:val="32"/>
      <w:lang w:val="en-GB"/>
    </w:rPr>
  </w:style>
  <w:style w:type="character" w:customStyle="1" w:styleId="71">
    <w:name w:val="标题 3 Char"/>
    <w:basedOn w:val="56"/>
    <w:link w:val="4"/>
    <w:qFormat/>
    <w:uiPriority w:val="0"/>
    <w:rPr>
      <w:b/>
      <w:bCs/>
      <w:kern w:val="2"/>
      <w:sz w:val="32"/>
      <w:szCs w:val="32"/>
    </w:rPr>
  </w:style>
  <w:style w:type="character" w:customStyle="1" w:styleId="72">
    <w:name w:val="标题 4 Char"/>
    <w:basedOn w:val="56"/>
    <w:link w:val="5"/>
    <w:qFormat/>
    <w:uiPriority w:val="0"/>
    <w:rPr>
      <w:rFonts w:ascii="Arial" w:hAnsi="Arial" w:eastAsia="黑体"/>
      <w:b/>
      <w:kern w:val="2"/>
      <w:sz w:val="28"/>
      <w:szCs w:val="24"/>
    </w:rPr>
  </w:style>
  <w:style w:type="character" w:customStyle="1" w:styleId="73">
    <w:name w:val="标题 5 Char"/>
    <w:basedOn w:val="56"/>
    <w:link w:val="6"/>
    <w:qFormat/>
    <w:uiPriority w:val="0"/>
    <w:rPr>
      <w:b/>
      <w:kern w:val="2"/>
      <w:sz w:val="28"/>
      <w:szCs w:val="24"/>
    </w:rPr>
  </w:style>
  <w:style w:type="character" w:customStyle="1" w:styleId="74">
    <w:name w:val="标题 6 Char"/>
    <w:basedOn w:val="56"/>
    <w:link w:val="7"/>
    <w:qFormat/>
    <w:uiPriority w:val="0"/>
    <w:rPr>
      <w:rFonts w:ascii="Arial" w:hAnsi="Arial" w:eastAsia="黑体"/>
      <w:b/>
      <w:kern w:val="2"/>
      <w:sz w:val="24"/>
      <w:szCs w:val="24"/>
    </w:rPr>
  </w:style>
  <w:style w:type="character" w:customStyle="1" w:styleId="75">
    <w:name w:val="标题 7 Char"/>
    <w:basedOn w:val="56"/>
    <w:link w:val="8"/>
    <w:qFormat/>
    <w:uiPriority w:val="0"/>
    <w:rPr>
      <w:b/>
      <w:kern w:val="2"/>
      <w:sz w:val="24"/>
      <w:szCs w:val="24"/>
    </w:rPr>
  </w:style>
  <w:style w:type="character" w:customStyle="1" w:styleId="76">
    <w:name w:val="标题 8 Char"/>
    <w:basedOn w:val="56"/>
    <w:link w:val="9"/>
    <w:qFormat/>
    <w:uiPriority w:val="0"/>
    <w:rPr>
      <w:rFonts w:ascii="Arial" w:hAnsi="Arial" w:eastAsia="黑体"/>
      <w:kern w:val="2"/>
      <w:sz w:val="24"/>
      <w:szCs w:val="24"/>
    </w:rPr>
  </w:style>
  <w:style w:type="character" w:customStyle="1" w:styleId="77">
    <w:name w:val="标题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批注主题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99"/>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8"/>
    <w:qFormat/>
    <w:uiPriority w:val="99"/>
    <w:rPr>
      <w:kern w:val="2"/>
      <w:sz w:val="18"/>
      <w:szCs w:val="18"/>
    </w:rPr>
  </w:style>
  <w:style w:type="character" w:customStyle="1" w:styleId="113">
    <w:name w:val="Placeholder Text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纯文本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脚注文本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Char1"/>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81"/>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link w:val="282"/>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List Paragraph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table" w:customStyle="1" w:styleId="277">
    <w:name w:val="Table Normal1"/>
    <w:basedOn w:val="64"/>
    <w:semiHidden/>
    <w:qFormat/>
    <w:uiPriority w:val="0"/>
    <w:rPr>
      <w:rFonts w:ascii="Calibri" w:hAnsi="Calibri" w:cs="Calibri"/>
    </w:rPr>
  </w:style>
  <w:style w:type="character" w:customStyle="1" w:styleId="278">
    <w:name w:val="NO Char"/>
    <w:basedOn w:val="56"/>
    <w:qFormat/>
    <w:uiPriority w:val="0"/>
    <w:rPr>
      <w:rFonts w:hint="default" w:ascii="Times New Roman" w:hAnsi="Times New Roman" w:eastAsia="Times New Roman" w:cs="Times New Roman"/>
    </w:rPr>
  </w:style>
  <w:style w:type="paragraph" w:customStyle="1" w:styleId="279">
    <w:name w:val="CR Cover Page"/>
    <w:qFormat/>
    <w:uiPriority w:val="0"/>
    <w:pPr>
      <w:spacing w:after="120" w:line="259" w:lineRule="auto"/>
    </w:pPr>
    <w:rPr>
      <w:rFonts w:ascii="Arial" w:hAnsi="Arial" w:eastAsia="宋体" w:cs="Times New Roman"/>
      <w:sz w:val="21"/>
      <w:szCs w:val="22"/>
      <w:lang w:val="en-GB" w:eastAsia="en-US" w:bidi="ar-SA"/>
    </w:rPr>
  </w:style>
  <w:style w:type="paragraph" w:styleId="280">
    <w:name w:val="List Paragraph"/>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281">
    <w:name w:val="TF Char"/>
    <w:link w:val="197"/>
    <w:qFormat/>
    <w:uiPriority w:val="0"/>
    <w:rPr>
      <w:rFonts w:ascii="Arial" w:hAnsi="Arial" w:eastAsia="MS Mincho"/>
      <w:b/>
      <w:lang w:val="en-GB" w:eastAsia="en-US"/>
    </w:rPr>
  </w:style>
  <w:style w:type="character" w:customStyle="1" w:styleId="282">
    <w:name w:val="B5 Char"/>
    <w:link w:val="214"/>
    <w:qFormat/>
    <w:uiPriority w:val="0"/>
    <w:rPr>
      <w:rFonts w:eastAsia="MS Mincho"/>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C70756-203E-4087-BE48-072A091A82A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1365</Words>
  <Characters>7784</Characters>
  <Lines>64</Lines>
  <Paragraphs>18</Paragraphs>
  <TotalTime>29</TotalTime>
  <ScaleCrop>false</ScaleCrop>
  <LinksUpToDate>false</LinksUpToDate>
  <CharactersWithSpaces>9131</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2017-09-06T12:59:00Z</dcterms:created>
  <dc:creator>10033860</dc:creator>
  <cp:lastModifiedBy>ZTE</cp:lastModifiedBy>
  <cp:lastPrinted>2113-01-01T00:00:00Z</cp:lastPrinted>
  <dcterms:modified xsi:type="dcterms:W3CDTF">2018-08-10T02:05:46Z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